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86R7486 TJB-F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1194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exemption from ad valorem taxation by a school district of certain property used to build low-income housing.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 Tax Code, is amended by adding Section 11.1828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11.1828.</w:t>
      </w:r>
      <w:r>
        <w:rPr>
          <w:u w:val="single"/>
        </w:rPr>
        <w:t xml:space="preserve"> </w:t>
      </w:r>
      <w:r>
        <w:rPr>
          <w:u w:val="single"/>
        </w:rPr>
        <w:t xml:space="preserve"> </w:t>
      </w:r>
      <w:r>
        <w:rPr>
          <w:u w:val="single"/>
        </w:rPr>
        <w:t xml:space="preserve">LOW-INCOME HOUSING NEAR SCHOOL OR WITHIN MUNICIPAL MANAGEMENT DISTRICT.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"Area median income" means the area median income as determined by the Texas Department of Housing and Community Affairs under Section 2306.123,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"Municipal management district" means a municipal management district created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Chapter 375, Local Government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special law to accomplish the purposes of Sections 52 and 52-a, Article III, and Section 59, Article XVI, Texas Constitution.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"Rural area" and "urban area" have the meanings assigned by Section 2306.004,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entitled to an exemption from taxation by a school district of improved and unimproved real property, any part of which is located within a one-mile radius of the center of a campus of that school district or within a municipal management district that the person owns for the purpose of building: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an urban area: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25 or more new single-family dwellings to be sold or leased to individuals or families earning not more than 25 percent of the area median income;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new multifamily housing project consisting of 150 or more dwelling units to be rented to individuals or families earning not more than 25 percent of the area median income;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rural area:</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10 or more new single-family dwellings to be sold or leased to individuals or families earning not more than 25 percent of the area median income;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new multifamily housing project consisting of 60 or more dwelling units to be rented to individuals or families earning not more than 25 percent of the area median income.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Property may not be exempted from taxation under this section after the third anniversary of the date the person acquires the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chief appraiser of the appraisal district in which property exempted from taxation under this section is located shall determine the market value of the property each tax year and shall record that value in the appraisal records for that tax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person who owns property exempted from taxation under this section sells, leases, or rents any part of the property to an individual or family who does not satisfy the applicable eligibility requirements prescribed by Subsection (b)(1) or (2), a penalty is imposed on the property equal to the amount of the taxes that would have been imposed on the property in each tax year that the property was exempted from taxation, plus interest at an annual rate of seven percent calculated from the dates on which the taxes would have become due.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penalty prescribed by Subsection (e) is imposed on property because the property is sold to a person who does not satisfy the applicable eligibility requirements of Subsection (b)(1)(A) or (2)(A), the person who received the exemption under this section for the property and the purchaser of the property are jointly and severally liable for the penalty and interest. A tax lien in favor of the school district for which the penalty is imposed attaches to the property to secure payment of the penalty and interest.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chief appraiser shall make an entry in the appraisal records for the property against which a penalty is imposed under Subsection (e) and shall deliver written notice of the imposition of the penalty and interest to the persons who are jointly and severally liable for that penalty and interest.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11.436(a), Tax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 person who</w:t>
      </w:r>
      <w:r>
        <w:t xml:space="preserve"> [</w:t>
      </w:r>
      <w:r>
        <w:rPr>
          <w:strike/>
        </w:rPr>
        <w:t xml:space="preserve">An organization that</w:t>
      </w:r>
      <w:r>
        <w:t xml:space="preserve">] acquires property that qualifies for an exemption under Section 11.181(a)</w:t>
      </w:r>
      <w:r>
        <w:rPr>
          <w:u w:val="single"/>
        </w:rPr>
        <w:t xml:space="preserve">,</w:t>
      </w:r>
      <w:r>
        <w:t xml:space="preserve"> </w:t>
      </w:r>
      <w:r>
        <w:t xml:space="preserve">[</w:t>
      </w:r>
      <w:r>
        <w:rPr>
          <w:strike/>
        </w:rPr>
        <w:t xml:space="preserve">or</w:t>
      </w:r>
      <w:r>
        <w:t xml:space="preserve">] 11.1825</w:t>
      </w:r>
      <w:r>
        <w:rPr>
          <w:u w:val="single"/>
        </w:rPr>
        <w:t xml:space="preserve">, or 11.1828</w:t>
      </w:r>
      <w:r>
        <w:t xml:space="preserve"> may apply for the exemption for the year of acquisition not later than the 30th day after the date the </w:t>
      </w:r>
      <w:r>
        <w:rPr>
          <w:u w:val="single"/>
        </w:rPr>
        <w:t xml:space="preserve">person</w:t>
      </w:r>
      <w:r>
        <w:t xml:space="preserve"> [</w:t>
      </w:r>
      <w:r>
        <w:rPr>
          <w:strike/>
        </w:rPr>
        <w:t xml:space="preserve">organization</w:t>
      </w:r>
      <w:r>
        <w:t xml:space="preserve">] acquires the property, and the deadline provided by Section 11.43(d) does not apply to the application for that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26.111, Tax Code, is amended to read as follows:</w:t>
      </w:r>
    </w:p>
    <w:p w:rsidR="003F3435" w:rsidRDefault="0032493E">
      <w:pPr>
        <w:spacing w:line="480" w:lineRule="auto"/>
        <w:ind w:firstLine="720"/>
        <w:jc w:val="both"/>
      </w:pPr>
      <w:r>
        <w:t xml:space="preserve">Sec.</w:t>
      </w:r>
      <w:r xml:space="preserve">
        <w:t> </w:t>
      </w:r>
      <w:r>
        <w:t xml:space="preserve">26.111.</w:t>
      </w:r>
      <w:r xml:space="preserve">
        <w:t> </w:t>
      </w:r>
      <w:r xml:space="preserve">
        <w:t> </w:t>
      </w:r>
      <w:r>
        <w:t xml:space="preserve">PRORATING TAXES--ACQUISITION BY </w:t>
      </w:r>
      <w:r>
        <w:rPr>
          <w:u w:val="single"/>
        </w:rPr>
        <w:t xml:space="preserve">PERSON FOR LOW-INCOME HOUSING PROJECTS</w:t>
      </w:r>
      <w:r>
        <w:t xml:space="preserve"> [</w:t>
      </w:r>
      <w:r>
        <w:rPr>
          <w:strike/>
        </w:rPr>
        <w:t xml:space="preserve">CHARITABLE ORGANIZATION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26.111(a), Tax Code, is amended to read as follows:</w:t>
      </w:r>
    </w:p>
    <w:p w:rsidR="003F3435" w:rsidRDefault="0032493E">
      <w:pPr>
        <w:spacing w:line="480" w:lineRule="auto"/>
        <w:ind w:firstLine="720"/>
        <w:jc w:val="both"/>
      </w:pPr>
      <w:r>
        <w:t xml:space="preserve">(a)</w:t>
      </w:r>
      <w:r xml:space="preserve">
        <w:t> </w:t>
      </w:r>
      <w:r xml:space="preserve">
        <w:t> </w:t>
      </w:r>
      <w:r>
        <w:t xml:space="preserve">If </w:t>
      </w:r>
      <w:r>
        <w:rPr>
          <w:u w:val="single"/>
        </w:rPr>
        <w:t xml:space="preserve">a person</w:t>
      </w:r>
      <w:r>
        <w:t xml:space="preserve"> [</w:t>
      </w:r>
      <w:r>
        <w:rPr>
          <w:strike/>
        </w:rPr>
        <w:t xml:space="preserve">an organization</w:t>
      </w:r>
      <w:r>
        <w:t xml:space="preserve">] acquires taxable property that qualifies for and is granted an exemption under Section 11.181(a)</w:t>
      </w:r>
      <w:r>
        <w:rPr>
          <w:u w:val="single"/>
        </w:rPr>
        <w:t xml:space="preserve">, 11.182,</w:t>
      </w:r>
      <w:r>
        <w:t xml:space="preserve"> or </w:t>
      </w:r>
      <w:r>
        <w:rPr>
          <w:u w:val="single"/>
        </w:rPr>
        <w:t xml:space="preserve">11.1828</w:t>
      </w:r>
      <w:r>
        <w:t xml:space="preserve"> [</w:t>
      </w:r>
      <w:r>
        <w:rPr>
          <w:strike/>
        </w:rPr>
        <w:t xml:space="preserve">11.182(a)</w:t>
      </w:r>
      <w:r>
        <w:t xml:space="preserve">] for the year in which the property was acquired, the amount of tax due on the property for that year is calculated by multiplying the amount of taxes imposed on the property for the entire year as provided by Section 26.09 by a fraction, the denominator of which is 365 and the numerator of which is the number of days in that year before the date the </w:t>
      </w:r>
      <w:r>
        <w:rPr>
          <w:u w:val="single"/>
        </w:rPr>
        <w:t xml:space="preserve">person</w:t>
      </w:r>
      <w:r>
        <w:t xml:space="preserve"> [</w:t>
      </w:r>
      <w:r>
        <w:rPr>
          <w:strike/>
        </w:rPr>
        <w:t xml:space="preserve">charitable organization</w:t>
      </w:r>
      <w:r>
        <w:t xml:space="preserve">] acquired the property.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only to an ad valorem tax year that begins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January 1, 2020, but only if the constitutional amendment proposed by the 86th Legislature, Regular Session, 2019, authorizing the legislature to exempt from ad valorem taxation by one or more political subdivisions of this state property located near a public school or within a municipal management district that is owned for the purpose of building low-income housing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