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González of Dallas</w:t>
      </w:r>
      <w:r xml:space="preserve">
        <w:tab wTab="150" tlc="none" cTlc="0"/>
      </w:r>
      <w:r>
        <w:t xml:space="preserve">H.B.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 Penal Code, is amended by amending Subsection (d-1) and adding Subsection (d-2) to read as follows:</w:t>
      </w:r>
    </w:p>
    <w:p w:rsidR="003F3435" w:rsidRDefault="0032493E">
      <w:pPr>
        <w:spacing w:line="480" w:lineRule="auto"/>
        <w:ind w:firstLine="720"/>
        <w:jc w:val="both"/>
      </w:pPr>
      <w:r>
        <w:t xml:space="preserve">(d-1)</w:t>
      </w:r>
      <w:r xml:space="preserve">
        <w:t> </w:t>
      </w:r>
      <w:r xml:space="preserve">
        <w:t> </w:t>
      </w:r>
      <w:r>
        <w:rPr>
          <w:u w:val="single"/>
        </w:rPr>
        <w:t xml:space="preserve">For purposes of Subsection (a)(3), the term "written rental agreement"</w:t>
      </w:r>
      <w:r>
        <w:rPr>
          <w:u w:val="single"/>
        </w:rPr>
        <w:t xml:space="preserve"> </w:t>
      </w:r>
      <w:r>
        <w:rPr>
          <w:u w:val="single"/>
        </w:rPr>
        <w:t xml:space="preserve">does not include an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permits an individual to use personal property for personal, family, or household purposes for an initial rental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automatically renewable with each payment after the initial rental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individual to become the owner of the property.</w:t>
      </w:r>
    </w:p>
    <w:p w:rsidR="003F3435" w:rsidRDefault="0032493E">
      <w:pPr>
        <w:spacing w:line="480" w:lineRule="auto"/>
        <w:ind w:firstLine="720"/>
        <w:jc w:val="both"/>
      </w:pPr>
      <w:r>
        <w:rPr>
          <w:u w:val="single"/>
        </w:rPr>
        <w:t xml:space="preserve">(d-2)</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 and</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