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86R5394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the loss or theft of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Code of Criminal Procedure, is amended by adding Article 42.0184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42.0184.</w:t>
      </w:r>
      <w:r>
        <w:rPr>
          <w:u w:val="single"/>
        </w:rPr>
        <w:t xml:space="preserve"> </w:t>
      </w:r>
      <w:r>
        <w:rPr>
          <w:u w:val="single"/>
        </w:rPr>
        <w:t xml:space="preserve"> </w:t>
      </w:r>
      <w:r>
        <w:rPr>
          <w:u w:val="single"/>
        </w:rPr>
        <w:t xml:space="preserve">NOTICE OF FAILURE TO REPORT LOST OR STOLEN FIREARM.  Not later than the fifth day after the date a person is convicted of or placed on deferred adjudication community supervision for an offense under Section 46.135, Penal Code, the clerk of the court in which the judgment of conviction or order of deferred adjudication community supervision is entered shall provide to the Department of Public Safety written notice of the conviction or deferred adjudication, including the following information as established by the record in the case: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 and any available information about the firearm that was lost or stolen;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the defendant became aware the firearm was lost or stolen;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by which the defendant should have reported the loss or theft to a peace officer or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411, Government Code, is amended by adding Section 411.055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411.055.</w:t>
      </w:r>
      <w:r>
        <w:rPr>
          <w:u w:val="single"/>
        </w:rPr>
        <w:t xml:space="preserve"> </w:t>
      </w:r>
      <w:r>
        <w:rPr>
          <w:u w:val="single"/>
        </w:rPr>
        <w:t xml:space="preserve"> </w:t>
      </w:r>
      <w:r>
        <w:rPr>
          <w:u w:val="single"/>
        </w:rPr>
        <w:t xml:space="preserve">REPORT TO DEPARTMENT OF LOST OR STOLEN FIREARM.  (a)  A peace officer who receives a report from the owner of a firearm or the owner's agent that the firearm was lost or stolen shall report the loss or theft to the department.  The report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owner and any available information about the firearm;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that the owner became aware the firearm was lost or stolen.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report received under Subsection (a) or notice received under Article 42.0184, Code of Criminal Procedure, until the fifth anniversary of the date that the owner whose firearm is the subject of the report became aware the firearm was lost or stolen.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w:t>
      </w:r>
      <w:r>
        <w:rPr>
          <w:u w:val="single"/>
        </w:rPr>
        <w:t xml:space="preserve">,</w:t>
      </w:r>
      <w:r>
        <w:t xml:space="preserve"> [</w:t>
      </w:r>
      <w:r>
        <w:rPr>
          <w:strike/>
        </w:rPr>
        <w:t xml:space="preserve">or</w:t>
      </w:r>
      <w:r>
        <w:t xml:space="preserve">] of an offense under Section 42.01, Penal Code, or equivalent offense</w:t>
      </w:r>
      <w:r>
        <w:rPr>
          <w:u w:val="single"/>
        </w:rPr>
        <w:t xml:space="preserve">, or of an offense under Section 46.135, Penal Code</w:t>
      </w:r>
      <w:r>
        <w:t xml:space="preserv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application materials by the department at its Austin headquarters, the department shall conduct the appropriate criminal history record check of the applicant through its computerized criminal history system </w:t>
      </w:r>
      <w:r>
        <w:rPr>
          <w:u w:val="single"/>
        </w:rPr>
        <w:t xml:space="preserve">and shall review any records received under Article 42.0184, Code of Criminal Procedure, that concern the applicant</w:t>
      </w:r>
      <w:r>
        <w:t xml:space="preserve">.  Not later than the 30th day after the date the department receives the application materials, the department shall forward the materials to the director's designee in the geographical area of the applicant's residence so that the designee may conduct the investigation described by Subsection (b).  For purposes of this section, the director's designee may be a noncommissioned employee of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46.035 </w:t>
      </w:r>
      <w:r>
        <w:rPr>
          <w:u w:val="single"/>
        </w:rPr>
        <w:t xml:space="preserve">or 46.135</w:t>
      </w:r>
      <w:r>
        <w:t xml:space="preserve">, Penal Code;</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t xml:space="preserve">(6)</w:t>
      </w:r>
      <w:r xml:space="preserve">
        <w:t> </w:t>
      </w:r>
      <w:r xml:space="preserve">
        <w:t> </w:t>
      </w:r>
      <w: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46, Penal Code, is amended by adding Section 46.135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46.135.</w:t>
      </w:r>
      <w:r>
        <w:rPr>
          <w:u w:val="single"/>
        </w:rPr>
        <w:t xml:space="preserve"> </w:t>
      </w:r>
      <w:r>
        <w:rPr>
          <w:u w:val="single"/>
        </w:rPr>
        <w:t xml:space="preserve"> </w:t>
      </w:r>
      <w:r>
        <w:rPr>
          <w:u w:val="single"/>
        </w:rPr>
        <w:t xml:space="preserve">FAILURE TO REPORT LOST OR STOLEN FIREARM.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owns a firearm that is subsequently lost by or stolen from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report the loss or theft, or cause a report of the loss or theft to be made, to a peace officer or law enforcement agency on or before the fifth day after the date the person became aware the firearm was lost or stolen.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411.172(a)(8) and 411.186(a)(4), Government Code, as amended by this Act, and Section 46.135, Penal Code, as added by this Act, apply only to a firearm that is lost or stolen on or after the effective date of this Act.  A firearm that was lost or stolen before the effective date of this Act is governed by the law in effect on the date the firearm was lost or stolen,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