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86R8171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for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 who provided family violence services to the victim through a family violence center authorized to provide those services under Chapter 51, Human Resources Code</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w:t>
      </w:r>
      <w:r>
        <w:rPr>
          <w:u w:val="single"/>
        </w:rPr>
        <w:t xml:space="preserve">or magistrate, as applicable,</w:t>
      </w:r>
      <w:r>
        <w:t xml:space="preserve"> </w:t>
      </w:r>
      <w:r>
        <w:t xml:space="preserve">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