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86R8623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A covenant or promise in, in connection with, or collateral to a construction contract other than a contract for a single family or multifamily residence is void and unenforceable if the covenant or promise provides for a registered architect or licensed engineer whose engineering or architectural design services are the subject of the construction contract to </w:t>
      </w:r>
      <w:r>
        <w:rPr>
          <w:u w:val="single"/>
        </w:rPr>
        <w:t xml:space="preserve">defend,</w:t>
      </w:r>
      <w:r>
        <w:t xml:space="preserve"> indemnify</w:t>
      </w:r>
      <w:r>
        <w:rPr>
          <w:u w:val="single"/>
        </w:rPr>
        <w:t xml:space="preserve">,</w:t>
      </w:r>
      <w:r>
        <w:t xml:space="preserve"> or hold harmless an owner or owner's agent or employee from liability for damage that is caused by or results from the negligence of </w:t>
      </w:r>
      <w:r>
        <w:rPr>
          <w:u w:val="single"/>
        </w:rPr>
        <w:t xml:space="preserve">a person other than the architect or engineer</w:t>
      </w:r>
      <w:r>
        <w:t xml:space="preserve"> [</w:t>
      </w:r>
      <w:r>
        <w:rPr>
          <w:strike/>
        </w:rPr>
        <w:t xml:space="preserve">an owner or an owner's agent or employee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ENGINEER'S OR ARCHITECT'S STANDARD OF CARE. A contract for engineering or architectural services must require a licensed engineer or registered architect to perform services with the professional skill and care ordinarily provided by competent engineers or architects practicing under the same or similar circumstances and professional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130.002, Civil Practice and Remedies Code, as amended by this Act, applies only to a covenant or promise in, in connection with, or collateral to a construction contract entered into on or after the effective date of this Act.  A covenant or promise in, in connection with, or collateral to a construction contract entered into before the effective date of this Act is governed by the law applicable to the covenant or promise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130.0021, Civil Practice and Remedies Code, as added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