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1211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1211</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acquisition of, and the construction of improvements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CERTAIN AGREEMENTS BY ARCHITECTS AND ENGINEERS IN OR IN CONNECTION WITH CONSTRUCTION CONTRACTS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130.002, Civil Practice and Remedies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covenant or promise in, in connection with, or collateral to a contract for engineering or architectural services related to an improvement to real property is void and unenforceable if the covenant or promise provides that a licensed engineer or registered architect must defend a party, including a third party, against a claim based wholly or partly on the negligence of, fault of, or breach of contract by a person other than the engineer or architect.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owner that is a party to a contract for engineering or architectural services related to an improvement to real property may require in the contract that the engineer or architect name the owner as an additional insured under the engineer's or architect's commercial general liability insurance policy and provide any defense to the owner provided by the policy to a named insured.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 does not apply to a contract for design-build services between an owner and a design-builder in which an owner contracts with a single entity to provide both design and construction services.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ENGINEER'S OR ARCHITECT'S STANDARD OF CARE. </w:t>
      </w:r>
      <w:r>
        <w:rPr>
          <w:u w:val="single"/>
        </w:rPr>
        <w:t xml:space="preserve"> </w:t>
      </w:r>
      <w:r>
        <w:rPr>
          <w:u w:val="single"/>
        </w:rPr>
        <w:t xml:space="preserve">(a) </w:t>
      </w:r>
      <w:r>
        <w:rPr>
          <w:u w:val="single"/>
        </w:rPr>
        <w:t xml:space="preserve"> </w:t>
      </w:r>
      <w:r>
        <w:rPr>
          <w:u w:val="single"/>
        </w:rPr>
        <w:t xml:space="preserve">A contract for engineering or architectural services related to an improvement to real property, or a contract for an improvement to real property that contains engineering or architectural services as a component part, may not require a licensed engineer or registered architect to perform professional services to a level of professional skill and care beyond that which would be provided by an ordinarily prudent engineer or architect with the same professional license under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prevents a party to a contract for engineering or architectural services from enforcing specific obligations in the contract that are separate from the standard of care.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 </w:t>
      </w:r>
      <w:r>
        <w:t xml:space="preserve"> </w:t>
      </w:r>
      <w:r>
        <w:t xml:space="preserve">Section 130.002(c), Civil Practice and Remedies Code, as added by this article, applies only to a covenant or promise in, in connection with, or collateral to a contract entered into on or after the effective date of this article.</w:t>
      </w:r>
    </w:p>
    <w:p w:rsidR="003F3435" w:rsidRDefault="0032493E">
      <w:pPr>
        <w:spacing w:line="480" w:lineRule="auto"/>
        <w:ind w:firstLine="720"/>
        <w:jc w:val="both"/>
      </w:pPr>
      <w:r>
        <w:t xml:space="preserve">(b)</w:t>
      </w:r>
      <w:r xml:space="preserve">
        <w:t> </w:t>
      </w:r>
      <w:r xml:space="preserve">
        <w:t> </w:t>
      </w:r>
      <w:r>
        <w:t xml:space="preserve">Sections 130.002(d) and 130.0021, Civil Practice and Remedies Code, as added by this article, apply only to a contract entered into on or after the effective date of this article.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This article takes effect September 1, 2019.</w:t>
      </w:r>
    </w:p>
    <w:p w:rsidR="003F3435" w:rsidRDefault="0032493E">
      <w:pPr>
        <w:spacing w:line="480" w:lineRule="auto"/>
        <w:jc w:val="center"/>
      </w:pPr>
      <w:r>
        <w:t xml:space="preserve">ARTICLE 2. </w:t>
      </w:r>
      <w:r>
        <w:t xml:space="preserve"> </w:t>
      </w:r>
      <w:r>
        <w:t xml:space="preserve">ACQUISITION OF REAL PROPERTY BY ENTITY WITH EMINENT DOMAIN AUTHORITY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21.0113, Property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private entity, as defined by Section 21.031, with eminent domain authority that wants to acquire real property for a public use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with the initial offer: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offer of compensation in an amount equal to or greater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rights sought to be acquired, including an estimate of damages to the property owner's remaining property, if any, based on an appraisal of the property prepared by a third party who is a certified general appraiser licensed under Chapter 1103,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price or market value of the property rights sought to be acquired based on data for at least three comparable arm's-length sales of a fee simple interest in property, including an estimate of damages to the property owner's remaining property, if any, based on data then available to the appraiser, broker, or private entity, as applicable, and based 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comparative market analysis prepared by a third party who is a real estate broker licensed under Chapter 1101, Occupations Code, or a certified general appraiser licensed under Chapter 1103, Occupations Code;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broker price opinion prepared by a third party who is a real estate broker licensed under Chapter 1101, Occupations Code;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market study prepared by a third party who is a real estate broker licensed under Chapter 1101, Occupations Code, or a certified general appraiser licensed under Chapter 1103, Occupations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complete written report of the appraisal, the comparative market analysis, the broker price opinion, the market study, or a summary of the market study, as prepared by the third party, that forms the basis for the amount of the offer of compensation under Paragraph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deed, easement, agreement, or other instrument of conveyance for the property rights sought that complies with Section 21.0114;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notice of the terms described by Section 21.0114(b) for which the property owner may negotiate to be included in a deed, easement, agreement, or other instrument of conveyance relating to the property;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of the property owner's right to attend or request an information meeting required by Section 21.034 or 21.035, as applicable;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landowner's bill of rights statement prescribed by Section 21.0112, unless previously provided to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holds a property owner information meeting under Section 21.034 or 21.035,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notice of the proposed project to the county judge of each county that the project is proposed to traverse;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includes in the final offer, if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written appraisal report required by Subsection (b)(4) unless the entity has previously provided a copy of the report to the property owner;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deed, easement, agreement, or other instrument of conveyance for the property rights sought that complies with Section 21.0114.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(c)(2)(A)(ii), a real estate broker licensed under Chapter 1101, Occupations Code, is authorized to prepare an estimated price based on a comparative market analysis, a broker price opinion, a market study, or a summary of the market study.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condemnation suit may not be abated, delayed, or dismissed for noncompliance with this subchapter, except for abatement as provided under Section 21.047(d).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private entity that provides to a property owner an easement form that is generally consistent with the language or provisions required by Section 21.0114(a) and the notice required by Section 21.0114(b) is considered to have complied with Section 21.0114 for purposes of Subsection (c)(2)(C), regardless of whether the private entity subsequently provides to the property owner a different deed, easement, agreement, or other instrument of conveyance as authorized under Sections 21.0114(c) and (d).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REQUIRED TERMS FOR INSTRUMENTS OF CONVEYANCE BY CERTAIN PRIVATE ENTITIES.  (a)  Except as provided by Subsections (b), (c), and (d), a deed, easement, agreement, or other instrument of conveyance provided to a property owner by a private entity, as defined by Section 21.031, with eminent domain authority to acquire the property interest to be conveyed must include the following terms,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instrument conveys a pipeline right-of-way easement, the following terms with respect to the easement rights granted under the instrument: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maximum number of pipelines that may be installed in the easement;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diameter, excluding any protective coating or wrapping, of each pipeline to be initially installed in the easement;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or category of substances permitted to be transported through each pipeline to be installed in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 any aboveground equipment or facility the private entity intends to install, maintain, or operate on the surface of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description or illustration of the location of the easement, including a metes and bounds or centerline description, plat, or aerial or other map-based depiction of the location of the easement on the property;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minimum depth at which each pipeline to be installed in the easement will initially be installed;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identifying whether the private entity intends to double-ditch areas of the easement that are not installed by boring or horizontal directional drilling;</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limiting the private entity's right to assign the entity's interest under the deed, easement, agreement, or other instrument of conveyance without: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notice to the property owner at the last known address of the person in whose name the property is listed on the most recent tax roll of any taxing unit authorized to levy property taxes against the property;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assignee, including an assignee that is an affiliate or subsidiary of or entity otherwise related to the private entity, will not operate each pipeline installed on the easement as a common carrier line or gas utility, the express written consent of the property owner, subject to other mutual agreements under Subsections (c) and (d);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provision describing whether the easement rights are exclusive, nonexclusive, or otherwise limited;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provision limiting the private entity's right to grant a third party access to the easement area for a purpose that is not related to the construction, safety, repair, maintenance, inspection, replacement, operation, or removal of each pipeline to be installed in the easement;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provision regarding the property owner's right to recover actual monetary damages arising from the construction and installation of each pipeline to be installed in the easement, or a statement that the consideration for the easement includes any monetary damages arising from the construction and installation of each pipeline to be installed in the easement;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provision regarding the property owner's right after initial construction and installation of each pipeline to be installed in the easement to actual monetary damages arising from the repair, maintenance, inspection, replacement, operation, or removal of each pipeline to be installed in the easement;</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removal, cutting, use, repair, and replacement of gates and fences that cross the easement or that will be used by the private entity;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payment for any damage that is not restored or paid for as part of the consideration for the easement;</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private entity's obligation to restore the easement area and the property owner's remaining property, if any, used by the private entity to as near to original condition as is reasonably practicable and to maintain the easement;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private entity to reimburse the property owner for actual monetary damages incurred by the property owner that arise from damage to the easement area and the property owner's remaining property caused by the private entity and not restored or paid for as part of the consideration for the easement; and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provision describing the private entity's rights of ingress, egress, entry, and access on, to, over, and across the easement;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instrument conveys an electric transmission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or illustration of the location of the easement, including a metes and bounds or centerline description, plat, or aerial or other map-based depiction of the location of the easement on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the entity will access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provision limiting access to the easement area by a third party that has not obtained authorization from the property owner for a purpose that is not related to the transmission line's construction, safety, repair, maintenance, inspection, replacement, operation, or removal;</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provision regarding the property owner's right to recover actual monetary damages arising from the construction, repair, maintenance, replacement, or future removal of lines and support facilities after initial construction in the easement, or a statement that the consideration for the easement includes such future damages;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removal, cutting, use, repair, and replacement of gates and fences that cross the easement or that will be used by the private entity;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payment for any damage that is not restored or paid for as part of the consideration for the easement;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regarding the entity's obligation to restore the easement area and the property owner's remaining property to the easement area's and the remaining property's original contours and grades, to the extent practicable,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provision regarding the entity's obligation to restore the easement area and the property owner's remaining property following any future damages directly attributed to the use of the easement by the private entity, to the extent practicable;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provision that the consideration for the easement includes future damages to the easement area and the property owner's remaining property;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describing whether the easement rights are exclusive, nonexclusive, or otherwise limited;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prohibition against the assignment of the entity's interest in the property to an assignee that will not operate as a utility subject to the jurisdiction of the Public Utility Commission of Texas or the Federal Energy Regulatory Commission without written notice to the property owner at the last known address of the person in whose name the property is listed on the most recent tax roll of any taxing unit authorized to levy property taxes against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prohibition against any use of the property being conveyed, other than a use stated in the deed, easement, agreement, or other instrument of conveyance, without the express written consent of the property owner;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provision that the terms of the deed, easement, agreement, or other instrument of conveyance will bind the successors and assigns of the property owner and private entity;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provision setting forth the applicable insurance or self-insurance to be provided by the private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shall notify the property owner that the property owner may negotiate for the following terms to be included in a deed, easement, agreement, or other instrument of conveyance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regarding the property owner's right to negotiate to recover damages, or a statement that the consideration for the easement includes damages,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 to vegetation;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income loss from disruption of existing agricultural production or existing leases based on verifiable loss or lease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the private entity to maintain at all times while the private entity uses the easement, including during construction and operations on the easement, liability insurance: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issued by an insurer authorized to issue liability insurance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insuring the property owner against liability for personal injuries and property damage sustained by any person to the extent caused by the negligence of the private entity or the private entity's agents or contractors and to the extent allowed by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private entity is subject to the jurisdiction of the Public Utility Commission of Texas or has a net worth of at least $25 million, requiring the private entity to indemnify the property owner against liability for personal injuries and property damage sustained by any person caused by the negligence of the private entity or the private entity's agents or contractors.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entity, as defined by Section 21.031, or the property owner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 for and agree to terms and conditions not required by Subsection (a) or provided by Subsection (b), including terms and conditions that differ from or are not included in a subsequent condemnation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a deed, easement, agreement, or other instrument of conveyance that does not include or includes terms that differ from the terms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this section does not prohibit a private entity or the property owner from agreeing to amend, alter, or omit the terms required by Subsection (a) at any time after the private entity first provides a deed, easement, agreement, or other instrument containing those terms to the property owner, whether before or at the same time that the entity makes an initial offer to the property owner. </w:t>
      </w:r>
      <w:r>
        <w:rPr>
          <w:u w:val="single"/>
        </w:rPr>
        <w:t xml:space="preserve"> </w:t>
      </w:r>
      <w:r>
        <w:rPr>
          <w:u w:val="single"/>
        </w:rPr>
        <w:t xml:space="preserve">A private entity that changes the terms required by Subsection (a) must provide a copy of the amended deed, easement, agreement, or other instrument of conveyance to the property owner not later than the seventh day before the date the private entity files a condemnation petition relating to the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entity that amends a deed, easement, agreement, or other instrument of conveyance to which this section applies after the initial offer or final offer is not required to satisfy again any requirement of Section 21.0113 that the private entity has previously satisfied.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21.012,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contents prescribed by Subsection (b), a petition filed by a private entity as defined by Section 21.031 to acquire property for a public use must state the terms to be included in the instrument of conveyance under Section 21.0114(a).</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Chapter 21, Property Code, is amended by adding Subchapter B-1 to read as follows:</w:t>
      </w:r>
    </w:p>
    <w:p w:rsidR="003F3435" w:rsidRDefault="0032493E">
      <w:pPr>
        <w:spacing w:line="480" w:lineRule="auto"/>
        <w:jc w:val="center"/>
      </w:pPr>
      <w:r>
        <w:rPr>
          <w:u w:val="single"/>
        </w:rPr>
        <w:t xml:space="preserve">SUBCHAPTER B-1.  ACQUISITION OF PROPERTY BY CERTAIN PRIVATE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21.031.</w:t>
      </w:r>
      <w:r>
        <w:rPr>
          <w:u w:val="single"/>
        </w:rPr>
        <w:t xml:space="preserve"> </w:t>
      </w:r>
      <w:r>
        <w:rPr>
          <w:u w:val="single"/>
        </w:rPr>
        <w:t xml:space="preserve"> </w:t>
      </w:r>
      <w:r>
        <w:rPr>
          <w:u w:val="single"/>
        </w:rPr>
        <w:t xml:space="preserve">DEFINITION.  In this subchapter, "private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for-profit entity, as defined by Section 1.002, Business Organizations Code, however organized, including an affiliate or subsidiary, authorized to exercise the power of eminent domain to acquire private property for public 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corporation organized under Chapter 67, Water Code, that has a for-profit entity, however organized, as the sole or majority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railroad operating in this state on or before September 1, 2019;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interstate pipeline governed by the Natural Gas Act (15 U.S.C. Section 717 et seq.) that does not seek to acquire property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21.032.</w:t>
      </w:r>
      <w:r>
        <w:rPr>
          <w:u w:val="single"/>
        </w:rPr>
        <w:t xml:space="preserve"> </w:t>
      </w:r>
      <w:r>
        <w:rPr>
          <w:u w:val="single"/>
        </w:rPr>
        <w:t xml:space="preserve"> </w:t>
      </w:r>
      <w:r>
        <w:rPr>
          <w:u w:val="single"/>
        </w:rPr>
        <w:t xml:space="preserve">APPLICABILITY OF SUBCHAPTER.  (a)  In this section, "industrial tract" means a tract of real property that contains a refinery, processing facility, underground or aboveground storage facility, chemical plant, marine terminal, electric station, power plant facility, or storage terminal or another similar facility.  The term does not include oil and gas production sites.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expressly provided by Section 21.034(d), this subchapter applies only to a private entity that seeks to acquire for a project for public use 25 or more tracts of real property that are not industrial tracts, including easements within those tracts, and that are owned by at least 25 separate and unaffiliated property owners.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expressly provided by Section 21.0392, this subchapter does not apply to a private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operates or proposes to construct an electric transmission 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jurisdiction of the Public Utility Commission of Texas under Chapter 37,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w:t>
      </w:r>
      <w:r>
        <w:rPr>
          <w:u w:val="single"/>
        </w:rPr>
        <w:t xml:space="preserve"> </w:t>
      </w:r>
      <w:r>
        <w:rPr>
          <w:u w:val="single"/>
        </w:rPr>
        <w:t xml:space="preserve"> </w:t>
      </w:r>
      <w:r>
        <w:rPr>
          <w:u w:val="single"/>
        </w:rPr>
        <w:t xml:space="preserve">NOTICE OF INTENT.  (a)  Not later than the 30th day before the date a private entity holds a meeting under this subchapter, the private entity must send a written notice of intent to the county judge for each county in which the private entity will seek to acquire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sent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private entity's intent to acquire real property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public 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proposed route, including the tracts of real property, identified by the tract number assigned by the county assessor-collector, that the private entity intends to acquire.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21.034.</w:t>
      </w:r>
      <w:r>
        <w:rPr>
          <w:u w:val="single"/>
        </w:rPr>
        <w:t xml:space="preserve"> </w:t>
      </w:r>
      <w:r>
        <w:rPr>
          <w:u w:val="single"/>
        </w:rPr>
        <w:t xml:space="preserve"> </w:t>
      </w:r>
      <w:r>
        <w:rPr>
          <w:u w:val="single"/>
        </w:rPr>
        <w:t xml:space="preserve">NOTICE OF PROPERTY OWNER INFORMATION MEETING.  (a)  A private entity shall, not later than the 14th day before the date of a meeting to be held under Section 21.035, provide a written notice advising the property owner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owner's right to participate in a meeting to discuss the proposed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project is a pipeline, the substances, products, materials, installations, and structures the private entity intends to transport through, use for, or build as part of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regulatory filings for the project existing at that time, if any, as to the regulatory classification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time, and location of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notice may include a statement of the right of the property owner to contact the private entity under Section 21.039.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send the meeting notice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listed for the property on the most recent tax roll for a taxing unit with authority to levy an ad valorem tax on the property at the address for the property owner listed on the tax roll;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for the property listed on the tax roll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project involves fewer than 25 tracts of real property, including easements within those tracts, owned by separate and unaffiliated property owners, the private entity shall provide notice to the property owners in the manner prescribed by this section that a property owner may request a meeting with the private entity to receive the information required to be presented by a private entity under Section 21.038. </w:t>
      </w:r>
      <w:r>
        <w:rPr>
          <w:u w:val="single"/>
        </w:rPr>
        <w:t xml:space="preserve"> </w:t>
      </w:r>
      <w:r>
        <w:rPr>
          <w:u w:val="single"/>
        </w:rPr>
        <w:t xml:space="preserve">If a property owner requests a meeting, the private entity shall, not later than the 30th day after the date the private entity receives the meeting request, offer to hold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21.035.</w:t>
      </w:r>
      <w:r>
        <w:rPr>
          <w:u w:val="single"/>
        </w:rPr>
        <w:t xml:space="preserve"> </w:t>
      </w:r>
      <w:r>
        <w:rPr>
          <w:u w:val="single"/>
        </w:rPr>
        <w:t xml:space="preserve"> </w:t>
      </w:r>
      <w:r>
        <w:rPr>
          <w:u w:val="single"/>
        </w:rPr>
        <w:t xml:space="preserve">PROPERTY OWNER INFORMATION MEETING.  (a)  For each contiguous linear section of a proposed project route that is equal to or less than 100 miles in length, the private entity shall hold at least one group property owner meeting.  For a project that exceeds 100 miles in length, the private entity shall hold at least one separate meeting for each 100-mile segment.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shall hold a meeting required under Subsection (a) in a centrally located public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to the size and nature of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convenient as practicable to the majority of the tracts of real property, including easements within those tracts, affected by the project section or segment for which the meeting is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meeting required under Subsection (a) may not be scheduled to begin earlier than 5:30 p.m.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private entity may not hold a meeting required under Subsection (a) for a project section or segment earlier than the 240th day before the date the private entity makes an initial offer to a property owner within the project section or segment or later than the 30th day before the date the private entity files a petition against a property owner within the project section or segment.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private entity is unable to identify and provide notice to a property owner as required by Section 21.034 before the private entity holds a meeting required under Subsection (a), the private entity shall provide notice to the property owner in the manner described by Section 21.034(d) and, if requested by the property owner, meet with the property owner as prescribed by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21.036.</w:t>
      </w:r>
      <w:r>
        <w:rPr>
          <w:u w:val="single"/>
        </w:rPr>
        <w:t xml:space="preserve"> </w:t>
      </w:r>
      <w:r>
        <w:rPr>
          <w:u w:val="single"/>
        </w:rPr>
        <w:t xml:space="preserve"> </w:t>
      </w:r>
      <w:r>
        <w:rPr>
          <w:u w:val="single"/>
        </w:rPr>
        <w:t xml:space="preserve">PERSONS AUTHORIZED TO ATTEND PROPERTY OWNER INFORMATION MEETING.  (a)  In addition to the property owner and the private entity representatives, the following individuals may attend a meeting held under Section 21.035: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invited relative of the property owner who is related to the property owner within the third degree by consanguinity or affinity, as determined under Chapter 573,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or licensed appraiser representing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or a lessee of the property owner that has direct knowledge of the property;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an entity with whom the property owner has contracted for services to manage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may include in the notice required by Section 21.034 a requirement that the property owner, not later than five days before the date of the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private entity that the property owner intends to attend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persons described by Subsections (a)(1)-(4) who intend to attend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of attendees under Subsections (a)(1)-(4) may not exceed five individuals for each separate tract of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private entity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attendees to provide identification and complete a registration form that includes contact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exclude from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 who does not provide identification or complete a registration form, if required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person described by Subsections (a)(1)-(4) who is not timely identified to the private entity, if required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private entity may take reasonable steps to maintain safety and decorum at the meeting, including expelling attendees who do not meet the requirements of this subchapter or who disrupt the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(b)(1), the private entity may not deny entry to a property owner who provides proper identification and completes a registration form, if required under Subsection (d)(1).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21.037.</w:t>
      </w:r>
      <w:r>
        <w:rPr>
          <w:u w:val="single"/>
        </w:rPr>
        <w:t xml:space="preserve"> </w:t>
      </w:r>
      <w:r>
        <w:rPr>
          <w:u w:val="single"/>
        </w:rPr>
        <w:t xml:space="preserve"> </w:t>
      </w:r>
      <w:r>
        <w:rPr>
          <w:u w:val="single"/>
        </w:rPr>
        <w:t xml:space="preserve">PARTICIPATION BY PRIVATE ENTITY REQUIRED.  One or more representatives designated by the private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each meeting required by Section 21.035;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those meetings as described by Section 21.038.</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21.038.</w:t>
      </w:r>
      <w:r>
        <w:rPr>
          <w:u w:val="single"/>
        </w:rPr>
        <w:t xml:space="preserve"> </w:t>
      </w:r>
      <w:r>
        <w:rPr>
          <w:u w:val="single"/>
        </w:rPr>
        <w:t xml:space="preserve"> </w:t>
      </w:r>
      <w:r>
        <w:rPr>
          <w:u w:val="single"/>
        </w:rPr>
        <w:t xml:space="preserve">PROPERTY OWNER INFORMATION MEETING AGENDA.  (a)  At a meeting held under Section 21.035: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private entity shall present: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landowner's bill of rights statement required to be provided to a property owner under Section 21.0112;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public use for which the entity wants to acquire the real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terms required under Section 21.0114 to be included in a deed, easement, agreement, or other instrument of conveyance provided by the entity to the property owner;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 the method and factors the entity used or intends to use to determine the entity's initial offer,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how damages to remaining property, if any, were or will be evaluated;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person who prepared or is anticipated to prepare the appraisal report, comparative market analysis, broker price opinion, market study, or summary of the market study required under Section 21.0113(c);</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description of the private entity's regulatory filings specifically related to the project;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basis for the private entity's exercise of eminent domain authority for the project;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name and contact information, as known at the time of the meeting, of any right-of-way agent or survey company to be used by the private entity to acquire the property rights sought;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authorized attendee of the meeting must be given an opportunity at the meeting to ask questions and make comments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the property owners;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public use for which the real property is to be acquired;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terms required under Section 21.0114 to be included in a deed, easement, agreement, or other instrument of conveyance provided by the private entity to a property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a private entity shall provide, in written or electronic form, the materials provided by the private entity at the meeting to a property owner who could not attend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w:t>
      </w:r>
      <w:r>
        <w:rPr>
          <w:u w:val="single"/>
        </w:rPr>
        <w:t xml:space="preserve"> </w:t>
      </w:r>
      <w:r>
        <w:rPr>
          <w:u w:val="single"/>
        </w:rPr>
        <w:t xml:space="preserve"> </w:t>
      </w:r>
      <w:r>
        <w:rPr>
          <w:u w:val="single"/>
        </w:rPr>
        <w:t xml:space="preserve">CONTACT AFTER PROPERTY OWNER INFORMATION MEETING.  (a)  A private entity that holds a meeting under Section 21.035 may not, for three days following the date of the meeting, contact a property owner who attended a meeting and, if required under Section 21.036(d)(1), provided identification and completed a registration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subchapter precludes: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or an individual allowed to attend a meeting held under Section 21.035 from contacting the private entity at any time;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private entity from engaging in discussions with a person described by Subdivision (1) after that person contacts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21.0391.</w:t>
      </w:r>
      <w:r>
        <w:rPr>
          <w:u w:val="single"/>
        </w:rPr>
        <w:t xml:space="preserve"> </w:t>
      </w:r>
      <w:r>
        <w:rPr>
          <w:u w:val="single"/>
        </w:rPr>
        <w:t xml:space="preserve"> </w:t>
      </w:r>
      <w:r>
        <w:rPr>
          <w:u w:val="single"/>
        </w:rPr>
        <w:t xml:space="preserve">PROCEDURES AFTER PROJECT RE-ROUTE.  If any part of the project is re-routed after any meeting is held under Section 21.035, the private entity shall, with respect only to the tracts affected by the re-route the property owners of which were not provided notice under Section 21.034, comply with the provisions of this subchapter with respect to tracts along the re-route.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21.0392.</w:t>
      </w:r>
      <w:r>
        <w:rPr>
          <w:u w:val="single"/>
        </w:rPr>
        <w:t xml:space="preserve"> </w:t>
      </w:r>
      <w:r>
        <w:rPr>
          <w:u w:val="single"/>
        </w:rPr>
        <w:t xml:space="preserve"> </w:t>
      </w:r>
      <w:r>
        <w:rPr>
          <w:u w:val="single"/>
        </w:rPr>
        <w:t xml:space="preserve">PROCEDURES FOR CERTAIN PRIVATE ENTITIES SUBJECT TO JURISDICTION OF PUBLIC UTILITY COMMISSION.  (a)  This section applies only to a private entity that proposes to exercise the power of eminent domain to construct an electric transmission line and is subject to the authority of the Public Utility Commission of Texas under Chapter 37,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to which this section applies and that is required by the Public Utility Commission of Texas to conduct a public meeting in connection with the electric transmission line project shall present at the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contained in the landowner's bill of rights required to be provided to a property owner under Section 21.0112;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required under Section 21.0114 to be included in a deed, easement, agreement, or other instrument of conveyance provided by the entity to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and contact information of any third-party contractor or right-of-way agent that will contact a property owner or seek access to the property owner's property in connection with the project, to the extent available;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contact information, including direct telephone number and e-mail address, for an agent or employee of the entity with authority to answer questions about the electric transmission line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method or methods for calculating the value of the property being acquired by the entity and the damages, if any, to the property owner's remaining property, as part of the entity's initial offer to a property owner;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summary of procedures for right-of-way acquisition after the route for the electric transmission line has been selected.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must give property owners the opportunity to ask the entity questions regarding eminent domain and right-of-way acquisition at the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Public Utility Commission of Texas adopts a route for the electric transmission line, the entity shall provide by letter to each property owner on the route: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entity's draft easement form containing a statement of the terms required by Section 21.0114 to be included in a deed, easement, agreement, or other instrument of conveyance provided by the entity to 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initial offer process and the basis and method or methods for calculating the value of the property being acquired by the entity and the damages, if any, to the property owner's remaining property as part of the initial offer required by Section 21.0113;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property owner's right under Section 21.0113 to receive a copy of the written appraisal with the final offer, if a copy of the written appraisal has not previously been provided to the property owner by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the negotiation process, including the name and contact information of any right-of-way agent who will be participating in the process, to the extent available;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contact information, including the direct telephone number and e-mail address, for an agent or employee of the entity with authority to answer questions about the electric transmission line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a private entity shall provide, in written or electronic form, the materials provided by the private entity at the meeting to a property owner who could not attend the meeting.</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  Except as otherwise provided by this section, the changes in law made by this article apply to the acquisition of real property in connection with an initial offer made under Chapter 21, Property Code, on or after the effective date of this article.  An acquisition of real property in connection with an initial offer made under Chapter 21, Property Code, before the effective date of this article is governed by the law applicable to the acquisition immediately before the effective date of this article,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the changes in law made by this article do not apply to an electric transmission project for which the Public Utility Commission of Texas has issued a final and appealable order that amends a certificate of convenience and necessity before the effective date of this article.</w:t>
      </w:r>
    </w:p>
    <w:p w:rsidR="003F3435" w:rsidRDefault="0032493E">
      <w:pPr>
        <w:spacing w:line="480" w:lineRule="auto"/>
        <w:ind w:firstLine="720"/>
        <w:jc w:val="both"/>
      </w:pPr>
      <w:r>
        <w:t xml:space="preserve">(c)</w:t>
      </w:r>
      <w:r xml:space="preserve">
        <w:t> </w:t>
      </w:r>
      <w:r xml:space="preserve">
        <w:t> </w:t>
      </w:r>
      <w:r>
        <w:t xml:space="preserve">Section 21.0392, Property Code, as added by this article, applies only if a public meeting required by the Public Utility Commission of Texas is conducted on or after the effective date of this article.</w:t>
      </w:r>
    </w:p>
    <w:p w:rsidR="003F3435" w:rsidRDefault="0032493E">
      <w:pPr>
        <w:spacing w:line="480" w:lineRule="auto"/>
        <w:ind w:firstLine="720"/>
        <w:jc w:val="both"/>
      </w:pPr>
      <w:r>
        <w:t xml:space="preserve">(d)</w:t>
      </w:r>
      <w:r xml:space="preserve">
        <w:t> </w:t>
      </w:r>
      <w:r xml:space="preserve">
        <w:t> </w:t>
      </w:r>
      <w:r>
        <w:t xml:space="preserve">Except as provided by Subsection (e) of this section, the changes in law made by this article do not apply to a pipeline for which an application for a permit to operate the pipeline has been filed with the Railroad Commission of Texas before the effective date of this article.</w:t>
      </w:r>
    </w:p>
    <w:p w:rsidR="003F3435" w:rsidRDefault="0032493E">
      <w:pPr>
        <w:spacing w:line="480" w:lineRule="auto"/>
        <w:ind w:firstLine="720"/>
        <w:jc w:val="both"/>
      </w:pPr>
      <w:r>
        <w:t xml:space="preserve">(e)</w:t>
      </w:r>
      <w:r xml:space="preserve">
        <w:t> </w:t>
      </w:r>
      <w:r xml:space="preserve">
        <w:t> </w:t>
      </w:r>
      <w:r>
        <w:t xml:space="preserve">The changes in law made by this article apply to a pipeline project for which an application for a permit to operate the pipeline is filed with the Railroad Commission of Texas on or after September 1, 2019, unless a written survey request is provided to each property owner on the proposed route of the project not later than the 90th day after the date the application is filed.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This article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