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w:t>
      </w:r>
      <w:r>
        <w:t xml:space="preserve"> </w:t>
      </w:r>
      <w:r>
        <w:t xml:space="preserve"> </w:t>
      </w:r>
      <w:r>
        <w:t xml:space="preserve">At least biennially, the board shall adopt a qualified allocation plan and a corresponding manual to provide information regarding the administration of and eligibility for the low income housing tax credit program. </w:t>
      </w:r>
      <w:r>
        <w:t xml:space="preserve"> </w:t>
      </w:r>
      <w:r>
        <w:t xml:space="preserve">The board may adopt the plan and manual annually, as considered appropriate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require as part of the threshold criteria under a qualified allocation plan that a proposed development satisfy certain criteria relating to educational quality, as specified by the department in that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adopt a qualified allocation plan that uses a scoring system that awards points to an application based on criteria relating to the educational quality applicable to a proposed development 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and Subsections (b) and (c) expire September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Texas Department of Housing and Community Affairs shall conduct a study of the effects that the implementation of Sections 2306.67022(b) and (c), Government Code, as added by this Act, has on the allocation of low income housing tax credits in this state.</w:t>
      </w:r>
    </w:p>
    <w:p w:rsidR="003F3435" w:rsidRDefault="0032493E">
      <w:pPr>
        <w:spacing w:line="480" w:lineRule="auto"/>
        <w:ind w:firstLine="720"/>
        <w:jc w:val="both"/>
      </w:pPr>
      <w:r>
        <w:t xml:space="preserve">(b)</w:t>
      </w:r>
      <w:r xml:space="preserve">
        <w:t> </w:t>
      </w:r>
      <w:r xml:space="preserve">
        <w:t> </w:t>
      </w:r>
      <w:r>
        <w:t xml:space="preserve">Not later than January 1, 2021, the Texas Department of Housing and Community Affairs shall submit to the governor, the lieutenant governor, the speaker of the house of representatives, and each standing committee of the legislature with jurisdiction over affordable housing a report regarding the study required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2020 qualified allocation plan or a subsequent plan adopted by the governing board of the department under Section 2306.67022, Government Code, as amended by this Act.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1215 was passed by the House on May 8, 2019, by the following vote:</w:t>
      </w:r>
      <w:r xml:space="preserve">
        <w:t> </w:t>
      </w:r>
      <w:r xml:space="preserve">
        <w:t> </w:t>
      </w:r>
      <w:r>
        <w:t xml:space="preserve">Yeas 132, Nays 12, 1 present, not voting; and that the House concurred in Senate amendments to H.B. No. 1215 on May 24, 2019, by the following vote:</w:t>
      </w:r>
      <w:r xml:space="preserve">
        <w:t> </w:t>
      </w:r>
      <w:r xml:space="preserve">
        <w:t> </w:t>
      </w:r>
      <w:r>
        <w:t xml:space="preserve">Yeas 139,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1215 was passed by the Senate, with amendments,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