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86R3494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1218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of benefits under the supplemental nutrition assistance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33.002, Human Resources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 executive commissioner by rule shall establish a schedule for the distribution of supplemental nutrition assistance program benefits that ensures the even distribution of the benefits each month over a 28-day period.</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executive commissioner of the Health and Human Services Commission shall adopt, modify, or repeal rules as necessary to implement Section 33.002(c-1), Human Resources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distribution schedule adopted as required by Section 33.002(c-1), Human Resources Code, as added by this Act, applies only to the distribution of supplemental nutrition assistance program benefits to a recipient whose initial determination of eligibility under Chapter 33, Human Resources Code, for those benefits is made on or after September 1, 2020. The distribution of benefits to a recipient whose initial determination of eligibility under Chapter 33, Human Resources Code, is made before September 1, 2020, is governed by the distribution schedule in effect immediately preceding that date,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