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86R8324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annual salaries of the chief justice or the presiding judge of an appellate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659.011:</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salary from the state of at least $125,000, except that the combined salary of a district judge from state and county sources, including compensation for any extrajudicial services performed on behalf of the county, may not exceed the amount that is $5,000 less than the salary provided for a justice of a court of appeals other than a chief justice;</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salary from the state that is equal to 110 percent of the salary of a district judge, except that the combined salary of a justice of the court of appeals other than the chief justice from all state and county sources, including compensation for any extrajudicial services performed on behalf of the county, may not exceed the amount that is $5,000 less than the salary provided for a justice of the supreme court;</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salary from the state that is equal to 120 percent of the salary of a district judge;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chief justice [</w:t>
      </w:r>
      <w:r>
        <w:rPr>
          <w:strike/>
        </w:rPr>
        <w:t xml:space="preserve">or presiding judge</w:t>
      </w:r>
      <w:r>
        <w:t xml:space="preserve">] of </w:t>
      </w:r>
      <w:r>
        <w:rPr>
          <w:u w:val="single"/>
        </w:rPr>
        <w:t xml:space="preserve">a court of appeals</w:t>
      </w:r>
      <w:r>
        <w:t xml:space="preserve"> [</w:t>
      </w:r>
      <w:r>
        <w:rPr>
          <w:strike/>
        </w:rPr>
        <w:t xml:space="preserve">an appellate court</w:t>
      </w:r>
      <w:r>
        <w:t xml:space="preserve">] is entitled to an annual salary from the state that is </w:t>
      </w:r>
      <w:r>
        <w:rPr>
          <w:u w:val="single"/>
        </w:rPr>
        <w:t xml:space="preserve">$5,000</w:t>
      </w:r>
      <w:r>
        <w:t xml:space="preserve"> [</w:t>
      </w:r>
      <w:r>
        <w:rPr>
          <w:strike/>
        </w:rPr>
        <w:t xml:space="preserve">$2,500</w:t>
      </w:r>
      <w:r>
        <w:t xml:space="preserve">] more than the salary provided for the other justices or judges of the court, except that the combined salary of the chief justice of a court of appeals may not exceed the [</w:t>
      </w:r>
      <w:r>
        <w:rPr>
          <w:strike/>
        </w:rPr>
        <w:t xml:space="preserve">amount that is $2,500 less than the</w:t>
      </w:r>
      <w:r>
        <w:t xml:space="preserve">] salary provided for a justice of the supreme court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chief justice of the supreme court or the presiding judge of the court of criminal appeals is entitled to an annual salary from the state that is $10,000 more than the salary provided for the other justices or judges of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