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86R22429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1223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1223:</w:t>
      </w: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C.S.H.B.</w:t>
      </w:r>
      <w:r xml:space="preserve">
        <w:t> </w:t>
      </w:r>
      <w:r>
        <w:t xml:space="preserve">No.</w:t>
      </w:r>
      <w:r xml:space="preserve">
        <w:t> </w:t>
      </w:r>
      <w:r>
        <w:t xml:space="preserve">1223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enforcement of a criminal offense relating to interference with child custody and to the prosecution of child custody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2.274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2.274.</w:t>
      </w:r>
      <w:r>
        <w:rPr>
          <w:u w:val="single"/>
        </w:rPr>
        <w:t xml:space="preserve"> </w:t>
      </w:r>
      <w:r>
        <w:rPr>
          <w:u w:val="single"/>
        </w:rPr>
        <w:t xml:space="preserve"> </w:t>
      </w:r>
      <w:r>
        <w:rPr>
          <w:u w:val="single"/>
        </w:rPr>
        <w:t xml:space="preserve">REPORT ON CERTAIN INTERFERENCE WITH CHILD CUSTODY.  On receipt of a report of a violation of Section 25.03(a-1), Penal Code, a peace officer shall attempt to determine the whereabouts of the child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child's whereabouts are known, locate the child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return the child to a parent of the child who is listed on the child's birth certificate and whose parental rights have not been terminated;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child is the subject of an ongoing investigation by the Department of Family and Protective Services under Chapter 261, Family Code, return the child to or allow the child to remain with the caregiver designated in a parental child safety placement agreement approved by the department under Subchapter L, Chapter 264, of that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child's whereabouts are unknown, submit a missing child report under Chapter 63.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25.03, Penal Code, is amended by adding Subsections (a-1) and (e)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commits an offense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takes or retains a child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a parent of the child who is listed on the child's birth certificate;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parent of the child whose parental rights have been terminated;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there is no judgment or order of a court disposing of the child's custody;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 knows that the taking or retaining of the child is without the effective consent of or against the expressed wishes of a parent of the child who is listed on the child's birth certificate and whose parental rights have not been terminated.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conduct constituting an offense under this section also constitutes an offense under another section of this code, the actor may be prosecuted under either section or both sections.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