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86R5652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criminal offense relating to interference with child custody and to the prosecution and enforcement of child custody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2.274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2.274.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INTERFERENCE WITH CHILD CUSTODY REPORT.  On receipt of a report of a violation of Section 25.03, Penal Code, a peace officer shall attempt to determine the whereabouts of the child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child's whereabouts are known, locate and return the child: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person entitled to the custody or possession of the child according to the terms of a judgment or order of a court disposing of the child's custody;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there is no judgment or court order described by Paragraph (A), to a parent listed on the child's birth certificate;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child's whereabouts are unknown, submit a missing child report under Chapter 63.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25.03, Penal Code, is amended by adding Subsections (a-1)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takes or retains a child younger than 18 years of 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there is no judgment or order of a court disposing of the child's custody;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knows that the taking or retaining of the child is without the effective consent of or against the expressed wishes of a parent who is listed on the child's birth certificate and whose parental rights have not been terminated.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conduct constituting an offense under this section also constitutes an offense under another section of this code, the actor may be prosecuted under either section or both sections.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