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86R1599 GCB-D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Shaheen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1228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political subdivision regulations, including zoning rules, concerning the cultivation, production, dispensing, or possession of low-THC cannabis.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487.201, Health and Safety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487.201.</w:t>
      </w:r>
      <w:r xml:space="preserve">
        <w:t> </w:t>
      </w:r>
      <w:r xml:space="preserve">
        <w:t> </w:t>
      </w:r>
      <w:r>
        <w:rPr>
          <w:u w:val="single"/>
        </w:rPr>
        <w:t xml:space="preserve">POLITICAL SUBDIVISION REGULATIONS CONCERNING</w:t>
      </w:r>
      <w:r>
        <w:t xml:space="preserve"> [</w:t>
      </w:r>
      <w:r>
        <w:rPr>
          <w:strike/>
        </w:rPr>
        <w:t xml:space="preserve">COUNTIES AND MUNICIPALITIES MAY NOT PROHIBIT</w:t>
      </w:r>
      <w:r>
        <w:t xml:space="preserve">] LOW-THC CANNABIS. </w:t>
      </w:r>
      <w:r>
        <w:t xml:space="preserve"> </w:t>
      </w:r>
      <w:r>
        <w:rPr>
          <w:u w:val="single"/>
        </w:rPr>
        <w:t xml:space="preserve">(a) </w:t>
      </w:r>
      <w:r>
        <w:rPr>
          <w:u w:val="single"/>
        </w:rPr>
        <w:t xml:space="preserve"> </w:t>
      </w:r>
      <w:r>
        <w:rPr>
          <w:u w:val="single"/>
        </w:rPr>
        <w:t xml:space="preserve">Subject to Subsection (b), a municipality, county, or other political subdivision may enact: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reasonable zoning rules that limit the use of land for dispensing organizations or the cultivation or production of low-THC cannabis to specified areas;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ordinances, orders, or other rules that regulate the time, place, and manner of dispensing organization operations.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 xml:space="preserve">
        <w:t> </w:t>
      </w:r>
      <w:r xml:space="preserve">
        <w:t> </w:t>
      </w:r>
      <w:r>
        <w:t xml:space="preserve">A municipality, county, or other political subdivision may not enact, adopt, or enforce a rule, ordinance, order, resolution, or other regulation that prohibits </w:t>
      </w:r>
      <w:r>
        <w:rPr>
          <w:u w:val="single"/>
        </w:rPr>
        <w:t xml:space="preserve">or has the effect of prohibiting</w:t>
      </w:r>
      <w:r>
        <w:t xml:space="preserve"> the cultivation, production, dispensing, or possession of low-THC cannabis, as authorized by this chapter.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rule, ordinance, order, resolution, or other regulation that violates this section is void and unenforceable.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487.201, Health and Safety Code, as amended by this Act, applies to a rule, ordinance, order, resolution, or other regulation adopted before, on,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1228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