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86R3182 JTS-D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Bell of Montgomery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filing of a bond by a private high-speed rail operator with the Texas Department of Transportation.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112, Transportation Code, is amended by adding Section 112.063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112.063.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BOND FOR RESTORATION OF REAL PROPERTY USED BY PRIVATE HIGH-SPEED RAIL OPERATOR.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"high-speed rail service" means intercity passenger rail service that is reasonably expected to reach speeds of at least 110 miles per hour.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Before a private entity begins operation of high-speed rail service, including the extension of an existing service, the entity must file with the department a bond in an amount determined by the commission to be sufficient to restore real property used for the service to its original condition if the service ceases operation.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