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86R6180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1235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by a state agency of a permit required for the construction of a high-speed rail project by a private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112, Transportation Code, is amended by adding Section 112.004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112.004.</w:t>
      </w:r>
      <w:r>
        <w:rPr>
          <w:u w:val="single"/>
        </w:rPr>
        <w:t xml:space="preserve"> </w:t>
      </w:r>
      <w:r>
        <w:rPr>
          <w:u w:val="single"/>
        </w:rPr>
        <w:t xml:space="preserve"> </w:t>
      </w:r>
      <w:r>
        <w:rPr>
          <w:u w:val="single"/>
        </w:rPr>
        <w:t xml:space="preserve">ISSUANCE OF STATE PERMIT FOR CERTAIN HIGH-SPEED RAIL PROJECTS.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"High-speed rail" has the meaning assigned by Section 112.201.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means a board, commission, council, committee, department, office, agency, or other governmental entity in the executive branch of state government.  The term does not include an institution of higher education as defined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may issue a permit required for the construction of a high-speed rail project by a private entity only if the entity meets all requirements of or conditions associated with the permit before issuance of the permit, including any condition requiring the applicant to obtain an additional permit or approval from another governmental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