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86R9308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Price,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TO DRUG COURT ACCOUNT.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drug court account described by Article 102.0178,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