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86R9308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Price,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1243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allocation of certain revenue from mixed beverage gross receipts and sales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C, Chapter 183, Tax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C. </w:t>
      </w:r>
      <w:r>
        <w:t xml:space="preserve"> </w:t>
      </w:r>
      <w:r>
        <w:rPr>
          <w:u w:val="single"/>
        </w:rPr>
        <w:t xml:space="preserve">DISPOSITION OF PROCEEDS</w:t>
      </w:r>
      <w:r>
        <w:t xml:space="preserve"> [</w:t>
      </w:r>
      <w:r>
        <w:rPr>
          <w:strike/>
        </w:rPr>
        <w:t xml:space="preserve">MIXED BEVERAGE TAX CLEARANCE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183, Tax Code, is amended by adding Section 183.053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ALLOCATION OF CERTAIN REVENUE TO DRUG COURT ACCOUNT.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shall deposit one percent of the taxes received under Subchapters B and B-1 to the credit of the drug court account described by Article 102.0178,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