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86R4624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183.051,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183.051.</w:t>
      </w:r>
      <w:r xml:space="preserve">
        <w:t> </w:t>
      </w:r>
      <w:r xml:space="preserve">
        <w:t> </w:t>
      </w:r>
      <w:r>
        <w:t xml:space="preserve">MIXED BEVERAGE TAX CLEARANCE FUND</w:t>
      </w:r>
      <w:r>
        <w:rPr>
          <w:u w:val="single"/>
        </w:rPr>
        <w:t xml:space="preserve">; ALLOCATION TO DRUG COURT ACCOUNT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183.051, Tax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deposit to the credit of the drug court account described by Article 102.0178, Code of Criminal Procedure, 10.7143 percent of the taxes received under Subchapters B and B-1 from permittees outside an incorporated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