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Zaffirini, Nichols, Perry)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Finance;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12, Nays 2;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drug court account described by Article 102.0178, Code of Criminal Procedure, or to a redesignated or other successor account, the balance of which is dedicated to specialty court programs under Subtitle K, Title 2, Government Code, including drug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