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or refund for diesel fuel taxes paid on diesel fuel used in this state by auxiliary power units or power take-off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162.227, Tax Code, is amended by adding Subsections (d-1), (d-2), and (d-3)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license holder may take a credit on a return for the period in which the purchase occurred, and a person who does not hold a license may file a refund claim with the comptroller, if the license holder or person paid tax on diesel fuel and the diesel fuel is used in this state by auxiliary power units or power take-off equipment on any motor vehicle.  If the quantity of that diesel fuel can be accurately measured while the motor vehicle is stationary by any metering or other measuring device or method designed to measure the fuel separately from fuel used to propel the motor vehicle, the comptroller may approve and adopt the use of the device as a basis for determining the quantity of diesel fuel consumed in those operations for a tax credit or tax refund.  If there is no separate metering device or other approved measuring method, the license holder may take the credit and the person who does not hold a license may claim the refund on a percentage of the diesel fuel consumed by each motor vehicle equipped with an auxiliary power unit or power take-off equipment.  The comptroller shall determine the percentage of diesel fuel for which the credit or refund may be claimed.  The climate-control air conditioning or heating system of a motor vehicle that has a primary purpose of providing for the convenience or comfort of the operator or passengers is not a power take-off system, and a credit or refund may not be allowed for the tax paid on any portion of the diesel fuel that is used for that purpose.  A credit or refund may not be allowed for the diesel fuel tax paid on that portion of the diesel fuel that is used for idling.</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comptroller shall reduce the amount of the credit or refund to which a person is otherwise entitled under Subsection (d-1) according to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fuel purchased on or after September 1, 2019, but before January 1, 2020, the comptroller shall reduce the credit or refund amount by 80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fuel purchased on or after January 1, 2020, but before January 1, 2021, the comptroller shall reduce the credit or refund amount by 60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fuel purchased on or after January 1, 2021, but before January 1, 2022, the comptroller shall reduce the credit or refund amount by 40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fuel purchased on or after January 1, 2022, but before January 1, 2023, the comptroller shall reduce the credit or refund amount by 20 percent.</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 (d-2) and this subsection expire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