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86R2344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H.B.</w:t>
      </w:r>
      <w:r xml:space="preserve">
        <w:t> </w:t>
      </w:r>
      <w:r>
        <w:t xml:space="preserve">No.</w:t>
      </w:r>
      <w:r xml:space="preserve">
        <w:t> </w:t>
      </w:r>
      <w:r>
        <w:t xml:space="preserve">1252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grocery access investment fund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2306, Government Code, is amended by adding Subchapter BB to read as follows:</w:t>
      </w:r>
    </w:p>
    <w:p w:rsidR="003F3435" w:rsidRDefault="0032493E">
      <w:pPr>
        <w:spacing w:line="480" w:lineRule="auto"/>
        <w:jc w:val="center"/>
      </w:pPr>
      <w:r>
        <w:rPr>
          <w:u w:val="single"/>
        </w:rPr>
        <w:t xml:space="preserve">SUBCHAPTER BB. </w:t>
      </w:r>
      <w:r>
        <w:rPr>
          <w:u w:val="single"/>
        </w:rPr>
        <w:t xml:space="preserve"> </w:t>
      </w:r>
      <w:r>
        <w:rPr>
          <w:u w:val="single"/>
        </w:rPr>
        <w:t xml:space="preserve">TEXAS GROCERY ACCESS INVESTMENT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2306.6501.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development financial institution" has the meaning assigned by 12 U.S.C. Section 4702.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"Farm stand"</w:t>
      </w:r>
      <w:r>
        <w:rPr>
          <w:u w:val="single"/>
        </w:rPr>
        <w:t xml:space="preserve"> </w:t>
      </w:r>
      <w:r>
        <w:rPr>
          <w:u w:val="single"/>
        </w:rPr>
        <w:t xml:space="preserve">has the meaning assigned by Section 437.001,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"Financing" means a loan, grant, or forgivable loan.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"Fund" means the Texas grocery access investment fund established by this subchapter.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"Grant"</w:t>
      </w:r>
      <w:r>
        <w:rPr>
          <w:u w:val="single"/>
        </w:rPr>
        <w:t xml:space="preserve"> </w:t>
      </w:r>
      <w:r>
        <w:rPr>
          <w:u w:val="single"/>
        </w:rPr>
        <w:t xml:space="preserve">means a grant provided under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"Grocery store" means a self-service retail store that primarily sells meat, seafood, fruits, vegetables, dairy products, dry groceries, household products, and sundries.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"Low-income area" means a census tract, based on the most recent information published by the United States Bureau of the Census, in which the poverty rate is 20 percent or higher or the median family income is at or below 81 percent of the median family income for the state or the metropolitan statistical area.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"Mobile market"</w:t>
      </w:r>
      <w:r>
        <w:rPr>
          <w:u w:val="single"/>
        </w:rPr>
        <w:t xml:space="preserve"> </w:t>
      </w:r>
      <w:r>
        <w:rPr>
          <w:u w:val="single"/>
        </w:rPr>
        <w:t xml:space="preserve">means a mobile self-service retail store that primarily sells meat, seafood, fruits, vegetables, dairy products, and dry groceries.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"Moderate-income area" means a census tract, based on the most recent information published by the United States Bureau of the Census, in which the median family income is between 82 and 95 percent of the median family income for the state or the metropolitan statistical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"Program" means the Texas grocery access investment fund program authorized by this subchapter.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"Underserved area"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designated as underserved by the department by rule;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census tract, based on the most recent information published by the United States Bureau of the Census, that has been determined to be an area with low supermarket access by the United States Department of Agriculture, as identified by the Food Access Research Atlas published by the United States Department of Agriculture.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2306.6502.</w:t>
      </w:r>
      <w:r>
        <w:rPr>
          <w:u w:val="single"/>
        </w:rPr>
        <w:t xml:space="preserve"> </w:t>
      </w:r>
      <w:r>
        <w:rPr>
          <w:u w:val="single"/>
        </w:rPr>
        <w:t xml:space="preserve"> </w:t>
      </w:r>
      <w:r>
        <w:rPr>
          <w:u w:val="single"/>
        </w:rPr>
        <w:t xml:space="preserve">TEXAS GROCERY ACCESS INVESTMENT FUND PROGRAM.  (a) The department, in cooperation with public and private sector partners, shall establish the Texas grocery access investment fund program to provide financing to construct, rehabilitate, or expand grocery stores, mobile markets, farm stands, and other eligible projects as determined by the department to increase food access in underserved low-income and moderate-income areas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grocery access investment fund is a trust fund outside the treasury with the comptroller and administered by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received from a private financial institution, including a bank, credit union, or community development financial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 state, or private grants or loans;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money received as a result of federal tax credits;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money appropriated to the fund by the legislature;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type of financial assistance;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interest received on money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2306.6503.</w:t>
      </w:r>
      <w:r>
        <w:rPr>
          <w:u w:val="single"/>
        </w:rPr>
        <w:t xml:space="preserve"> </w:t>
      </w:r>
      <w:r>
        <w:rPr>
          <w:u w:val="single"/>
        </w:rPr>
        <w:t xml:space="preserve"> </w:t>
      </w:r>
      <w:r>
        <w:rPr>
          <w:u w:val="single"/>
        </w:rPr>
        <w:t xml:space="preserve">ADMINISTRATION OF TEXAS GROCERY ACCESS INVESTMENT FUND PROGRAM.  (a) The department shall contract with one or more of the following entities to administer the program through a public-private partnership: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nonprofit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community development financial institution;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governmental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private financial institution, including a bank or credit union;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academic institution;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entity considered appropriate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rules, procedures, and guidelines adopted or established by the department, an entity contracted under Subsection (a) shall establish program guidelines, raise matching money, promote the program statewide, evaluate applicants, underwrite and disburse grants and loans, and monitor compliance with and the impact of the program. </w:t>
      </w:r>
      <w:r>
        <w:rPr>
          <w:u w:val="single"/>
        </w:rPr>
        <w:t xml:space="preserve"> </w:t>
      </w:r>
      <w:r>
        <w:rPr>
          <w:u w:val="single"/>
        </w:rPr>
        <w:t xml:space="preserve">Notwithstanding this subsection, the department may disburse a grant or loan that does not exceed $20,000 per project for an eligible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establish rules or other procedures as necessary to administer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contract with an appropriate academic institution to establish monitoring and accountability mechanisms for projects receiving financing under the program. </w:t>
      </w:r>
      <w:r>
        <w:rPr>
          <w:u w:val="single"/>
        </w:rPr>
        <w:t xml:space="preserve"> </w:t>
      </w:r>
      <w:r>
        <w:rPr>
          <w:u w:val="single"/>
        </w:rPr>
        <w:t xml:space="preserve">If the department contracts with an institution under this subsection, the institution shall submit a written report annually to the legislature. The report must include information regarding the projects that are funded, the geographic distribution of the projects, the costs of start-up and administration of the program, and the outcomes of the projects, including the number and types of jobs created as a result of the program and the health impact of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create project eligibility guidelines and provide financing through an application process. </w:t>
      </w:r>
      <w:r>
        <w:rPr>
          <w:u w:val="single"/>
        </w:rPr>
        <w:t xml:space="preserve"> </w:t>
      </w:r>
      <w:r>
        <w:rPr>
          <w:u w:val="single"/>
        </w:rPr>
        <w:t xml:space="preserve">To be eligible for financing, a project must be located in an underserved area and primarily serve low-income or moderate-income areas. Projects eligible for financing include the construction, expansion, or rehabilitation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grocery store;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mobile market;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farm stand;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approved project that furthers the purposes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applicant for financing may be a for-profit or nonprofit entity, including a sole proprietorship, partnership, limited liability company, corporation, cooperative, nonprofit organization, nonprofit community development entity, university, or government entity. An applicant for financing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demonstrate the capacity to successfully implement the project and the likelihood that the project will be economically self-sustaining;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demonstrate the ability to repay any loan required to be repaid;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agree, for a period of five years,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benefits under the federal supplemental nutrition assistance program operated under 7 U.S.C. Section 2011 et seq. and the federal special supplemental nutrition program for women, infants, and children authorized by 42 U.S.C. Section 1786;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sufficient access to healthy food, such as by allocating an amount of retail space considered appropriate by the department for the sale of perishable foods, which may include whole grains, fresh produce, meat, poultry, seafood, and fresh or frozen dairy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comply with all data collection and reporting requirements established by the department;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promote the sale of fresh produce, including Texas-grown fruits and vegetables, and fresh Texas-raised meat, poultry, and seafood products;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promote the hiring of local residents.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determining which eligible projects to finance, an entity contracted under Subsection (a)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following for each eligible project: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level of need in the area to be served;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public funding required to make the project move forward, create an impact, or be competitive;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degree to which the project will have a positive impact on food access and a positive economic impact on the underserved area, including by creating or retaining jobs for local residents;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degree to which the project will participate in state and local health initiatives to educate consumers on nutrition and promote healthy eating, including Texas A&amp;M AgriLife Extension Service initiatives;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any other criteria the contracted entity considers necessary or appropriate;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for each eligible project related to the construction of a new grocery store: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grocery store is expected to be economically viable;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grocery store will have a positive impact on healthy food access in the underserved low-income or moderate-income area the project is intended to 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recipient of financing may use money received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site acquisition and preparation;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and build-out costs;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equipment and furnishings;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employee training or security;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predevelopment costs, including market studies and appraisals;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energy efficiency measures;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working capital for initial inventory and start-up costs;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costs associated with maintaining the infrastructure of the project.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Texas Department of Housing and Community Affairs shall adopt rules to administer Subchapter BB, Chapter 2306,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15, 2019, the Texas Department of Housing and Community Affairs shall contract with one or more entities as provided by Section 2306.6503(a),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15, 2020, the Texas Department of Housing and Community Affairs shall transfer money held by the department and described by Section 2306.6502(c), Government Code, as added by this Act, to the Texas grocery access investment fund.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