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86R3161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Murphy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land secured by a home equity loan to be designated for agricultural use for ad valorem tax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23.42(a),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An</w:t>
      </w:r>
      <w:r>
        <w:t xml:space="preserve"> [</w:t>
      </w:r>
      <w:r>
        <w:rPr>
          <w:strike/>
        </w:rPr>
        <w:t xml:space="preserve">Except as provided by Subsection (a-1), an</w:t>
      </w:r>
      <w:r>
        <w:t xml:space="preserve">] individual is entitled to have land he owns designated for agricultural use if, on January 1: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land has been devoted exclusively to or developed continuously for agriculture for the three years preceding the current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individual is using and intends to use the land for agriculture as an occupation or a business venture for profit during the current year;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agriculture is the individual's primary occupation and primary source of income.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23.42(a-1), Tax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2020.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