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1256</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access by certain persons to a first responder's immunization history.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161, Health and Safety Code, is amended by adding Section 161.00708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161.00708.</w:t>
      </w:r>
      <w:r>
        <w:rPr>
          <w:u w:val="single"/>
        </w:rPr>
        <w:t xml:space="preserve"> </w:t>
      </w:r>
      <w:r>
        <w:rPr>
          <w:u w:val="single"/>
        </w:rPr>
        <w:t xml:space="preserve"> </w:t>
      </w:r>
      <w:r>
        <w:rPr>
          <w:u w:val="single"/>
        </w:rPr>
        <w:t xml:space="preserve">ACCESS TO FIRST RESPONDER IMMUNIZATION HISTORY.  (a)  The department shall establish a process to provide an employer of a first responder with direct access to the first responder's immunization information in the immunization registry for verification of the first responder's immunization history.  The process must require a first responder to provide electronic or written consent before the employer is granted direct access to the first responder's immunization information in the immunization registry.  A first responder may withdraw consent at any time.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may establish a process to provide a first responder with access to the first responder's immunization information in the immunization registry.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161.008(d), Health and Safety Code, is amended to read as follows:</w:t>
      </w:r>
    </w:p>
    <w:p w:rsidR="003F3435" w:rsidRDefault="0032493E">
      <w:pPr>
        <w:spacing w:line="480" w:lineRule="auto"/>
        <w:ind w:firstLine="720"/>
        <w:jc w:val="both"/>
      </w:pPr>
      <w:r>
        <w:t xml:space="preserve">(d)</w:t>
      </w:r>
      <w:r xml:space="preserve">
        <w:t> </w:t>
      </w:r>
      <w:r xml:space="preserve">
        <w:t> </w:t>
      </w:r>
      <w:r>
        <w:t xml:space="preserve">The department may release the data constituting an immunization record for the individual to:</w:t>
      </w:r>
    </w:p>
    <w:p w:rsidR="003F3435" w:rsidRDefault="0032493E">
      <w:pPr>
        <w:spacing w:line="480" w:lineRule="auto"/>
        <w:ind w:firstLine="1440"/>
        <w:jc w:val="both"/>
      </w:pPr>
      <w:r>
        <w:t xml:space="preserve">(1)</w:t>
      </w:r>
      <w:r xml:space="preserve">
        <w:t> </w:t>
      </w:r>
      <w:r xml:space="preserve">
        <w:t> </w:t>
      </w:r>
      <w:r>
        <w:t xml:space="preserve">any entity that is described by Subsection (c);</w:t>
      </w:r>
    </w:p>
    <w:p w:rsidR="003F3435" w:rsidRDefault="0032493E">
      <w:pPr>
        <w:spacing w:line="480" w:lineRule="auto"/>
        <w:ind w:firstLine="1440"/>
        <w:jc w:val="both"/>
      </w:pPr>
      <w:r>
        <w:t xml:space="preserve">(2)</w:t>
      </w:r>
      <w:r xml:space="preserve">
        <w:t> </w:t>
      </w:r>
      <w:r xml:space="preserve">
        <w:t> </w:t>
      </w:r>
      <w:r>
        <w:t xml:space="preserve">a school or child care facility in which the individual is enrolled; [</w:t>
      </w:r>
      <w:r>
        <w:rPr>
          <w:strike/>
        </w:rPr>
        <w:t xml:space="preserve">or</w:t>
      </w:r>
      <w:r>
        <w:t xml:space="preserve">]</w:t>
      </w:r>
    </w:p>
    <w:p w:rsidR="003F3435" w:rsidRDefault="0032493E">
      <w:pPr>
        <w:spacing w:line="480" w:lineRule="auto"/>
        <w:ind w:firstLine="1440"/>
        <w:jc w:val="both"/>
      </w:pPr>
      <w:r>
        <w:t xml:space="preserve">(3)</w:t>
      </w:r>
      <w:r xml:space="preserve">
        <w:t> </w:t>
      </w:r>
      <w:r xml:space="preserve">
        <w:t> </w:t>
      </w:r>
      <w:r>
        <w:t xml:space="preserve">a state agency having legal custody of the individual</w:t>
      </w:r>
      <w:r>
        <w:rPr>
          <w:u w:val="single"/>
        </w:rPr>
        <w:t xml:space="preserv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employer of a first responder or a first responder in accordance with Section 161.00708</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Not later than January 1, 2020, the executive commissioner of the Health and Human Services Commission shall adopt rules as necessary to implement the changes in law made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1256 was passed by the House on April 11, 2019, by the following vote:</w:t>
      </w:r>
      <w:r xml:space="preserve">
        <w:t> </w:t>
      </w:r>
      <w:r xml:space="preserve">
        <w:t> </w:t>
      </w:r>
      <w:r>
        <w:t xml:space="preserve">Yeas 146, Nays 0,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1256 was passed by the Senate on May 15, 2019, by the following vote:</w:t>
      </w:r>
      <w:r xml:space="preserve">
        <w:t> </w:t>
      </w:r>
      <w:r xml:space="preserve">
        <w:t> </w:t>
      </w:r>
      <w:r>
        <w:t xml:space="preserve">Yeas 30, Nays 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1256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