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1256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by certain persons to a first responder's immunization history during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161, Health and Safety Code, is amended by adding Section 161.00708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161.00708.</w:t>
      </w:r>
      <w:r>
        <w:rPr>
          <w:u w:val="single"/>
        </w:rPr>
        <w:t xml:space="preserve"> </w:t>
      </w:r>
      <w:r>
        <w:rPr>
          <w:u w:val="single"/>
        </w:rPr>
        <w:t xml:space="preserve"> </w:t>
      </w:r>
      <w:r>
        <w:rPr>
          <w:u w:val="single"/>
        </w:rPr>
        <w:t xml:space="preserve">ACCESS TO FIRST RESPONDER IMMUNIZATION HISTORY.  (a)  In this section, "disaster" means a disaster declared by the president of the United States, the governor of this state, or the governor of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establish a process to allow during a disaster direct access to the immunization registry for verification of a first responder's immunization history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responder;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preparation for or response to the disaster and with the first responder's electronic or written consent: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first responder's employer;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other than the first responder's employer who is acting as the first responder's supervisor for the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executive commissioner of the Health and Human Services Commission shall adopt rules to implement Section 161.00708,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