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86R4188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Nevárez,</w:t>
      </w:r>
      <w:r xml:space="preserve">
        <w:tab wTab="150" tlc="none" cTlc="0"/>
      </w:r>
      <w:r>
        <w:t xml:space="preserve">H.B.</w:t>
      </w:r>
      <w:r xml:space="preserve">
        <w:t> </w:t>
      </w:r>
      <w:r>
        <w:t xml:space="preserve">No.</w:t>
      </w:r>
      <w:r xml:space="preserve">
        <w:t> </w:t>
      </w:r>
      <w:r>
        <w:t xml:space="preserve">1262</w:t>
      </w:r>
    </w:p>
    <w:p w:rsidR="003F3435" w:rsidRDefault="0032493E">
      <w:pPr>
        <w:jc w:val="both"/>
      </w:pPr>
      <w:r xml:space="preserve">
        <w:t> </w:t>
      </w:r>
      <w:r xml:space="preserve">
        <w:t> </w:t>
      </w:r>
      <w:r xml:space="preserve">
        <w:t> </w:t>
      </w:r>
      <w:r xml:space="preserve">
        <w:t> </w:t>
      </w:r>
      <w:r xml:space="preserve">
        <w:t> </w:t>
      </w:r>
      <w:r>
        <w:t xml:space="preserve">King of Hemphill, Paddie, Canales,</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extended registration of certain vehicles not subject to inspection.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502.0024.</w:t>
      </w:r>
      <w:r>
        <w:rPr>
          <w:u w:val="single"/>
        </w:rPr>
        <w:t xml:space="preserve"> </w:t>
      </w:r>
      <w:r>
        <w:rPr>
          <w:u w:val="single"/>
        </w:rPr>
        <w:t xml:space="preserve"> </w:t>
      </w:r>
      <w:r>
        <w:rPr>
          <w:u w:val="single"/>
        </w:rPr>
        <w:t xml:space="preserve">EXTENDED REGISTRATION OF CERTAIN VEHICLES NOT SUBJECT TO INSPECTION.  (a)  Notwithstanding Section 502.044(c), the department shall develop and implement a system of registration to allow an owner of a vehicle described by Section 548.052(3) other than a mobile home to register the vehicle for an extended registration period of not more than five years.  The owner may select the number of years for registration under this section within that range and register the vehicle for that period.  Payment for all applicable fees, including registration fees and the fee required by Section 548.510, for the entire registration period selected is due at the time of registration.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required by Section 548.510 shall be remitted to the comptroller for deposit in the Texas mobility fund, the general revenue fund, and the clean air account in amounts proportionate to the allocation prescribed by Subsection (b) of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February 1, 2020, the Texas Department of Motor Vehicles shall adopt the system required by Section 502.0024, Transportation Code, as added by this Act, and any rules necessary to implement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