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an order by the Brazoria Drainage District Number 4 to maintain certain infrastructure.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991, Acts of the 74th Legislature, Regular Session, 1995, is amended by adding Section 5A to read as follows: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5A.</w:t>
      </w:r>
      <w:r>
        <w:rPr>
          <w:u w:val="single"/>
        </w:rPr>
        <w:t xml:space="preserve"> </w:t>
      </w:r>
      <w:r>
        <w:rPr>
          <w:u w:val="single"/>
        </w:rPr>
        <w:t xml:space="preserve"> </w:t>
      </w:r>
      <w:r>
        <w:rPr>
          <w:u w:val="single"/>
        </w:rPr>
        <w:t xml:space="preserve">ORDER TO MAINTAIN CERTAIN INFRASTRUCTURE ON PRIVATE PROPERTY.  (a)  This section does not apply to a property owner that is a railroad that owns or leases: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locomotives and freight rail cars;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rights-of-way used for the purposes of transporting goods by rail between at least two terminuses.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order a property owner to clear or otherwise maintain a canal, drain, ditch, or levee located on the owner's private prope</w:t>
      </w:r>
      <w:r>
        <w:rPr>
          <w:u w:val="single"/>
        </w:rPr>
        <w:t xml:space="preserv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who receives an order under Subsection (b) of this section may comply with the order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consent for the district to perform the clearing or maintenance described in the 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performing the clearing or maintenance described in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property owner who receives an order under Subsection (b) of this section fails to comply with the order before the 180th day after the date the order was issued, the district, if the property owner does not deny access to the property, may enter the property to perform the clearing or maintenance described in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1263 was passed by the House on May 3, 2019, by the following vote:</w:t>
      </w:r>
      <w:r xml:space="preserve">
        <w:t> </w:t>
      </w:r>
      <w:r xml:space="preserve">
        <w:t> </w:t>
      </w:r>
      <w:r>
        <w:t xml:space="preserve">Yeas 127, Nays 13, 2 present, not voting; and that the House concurred in Senate amendments to H.B. No. 1263 on May 24, 2019, by the following vote:</w:t>
      </w:r>
      <w:r xml:space="preserve">
        <w:t> </w:t>
      </w:r>
      <w:r xml:space="preserve">
        <w:t> </w:t>
      </w:r>
      <w:r>
        <w:t xml:space="preserve">Yeas 118, Nays 21,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1263 was passed by the Senate, with amendments,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