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86R338 GRM-D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Brazoria</w:t>
      </w:r>
      <w:r xml:space="preserve">
        <w:tab wTab="150" tlc="none" cTlc="0"/>
      </w:r>
      <w:r>
        <w:t xml:space="preserve">H.B.</w:t>
      </w:r>
      <w:r xml:space="preserve">
        <w:t> </w:t>
      </w:r>
      <w:r>
        <w:t xml:space="preserve">No.</w:t>
      </w:r>
      <w:r xml:space="preserve">
        <w:t> </w:t>
      </w:r>
      <w:r>
        <w:t xml:space="preserve">1263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order by a drainage district to maintain certain infrastructure.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56, Water Code, is amended by adding Section 56.112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56.112.</w:t>
      </w:r>
      <w:r>
        <w:rPr>
          <w:u w:val="single"/>
        </w:rPr>
        <w:t xml:space="preserve"> </w:t>
      </w:r>
      <w:r>
        <w:rPr>
          <w:u w:val="single"/>
        </w:rPr>
        <w:t xml:space="preserve"> </w:t>
      </w:r>
      <w:r>
        <w:rPr>
          <w:u w:val="single"/>
        </w:rPr>
        <w:t xml:space="preserve">ORDER TO MAINTAIN CERTAIN INFRASTRUCTURE ON PRIVATE PROPERTY.  (a)  The district may order a property owner to clear or otherwise maintain a canal, drain, ditch, or levee located on the owner's private property.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property owner who receives an order under Subsection (a) may comply with the order by providing consent for the district to perform the clearing or maintenance described in the order.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property owner who receives an order under Subsection (a) fails to comply with the order before the 180th day after the date the order was issued, the district may enter the property to perform the clearing or maintenance described in the order.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1263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