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1263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Water &amp; Rural Affairs;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1263</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order by the Brazoria Drainage District Number 4 to maintain certain infrastructure.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991, Acts of the 74th Legislature, Regular Session, 1995, is amended by adding Section 5A to read as follows:</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5A.</w:t>
      </w:r>
      <w:r>
        <w:rPr>
          <w:u w:val="single"/>
        </w:rPr>
        <w:t xml:space="preserve"> </w:t>
      </w:r>
      <w:r>
        <w:rPr>
          <w:u w:val="single"/>
        </w:rPr>
        <w:t xml:space="preserve"> </w:t>
      </w:r>
      <w:r>
        <w:rPr>
          <w:u w:val="single"/>
        </w:rPr>
        <w:t xml:space="preserve">ORDER TO MAINTAIN CERTAIN INFRASTRUCTURE ON PRIVATE PROPERTY.  (a)  This section does not apply to a property owner that is a railroad that owns or leases: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locomotives and freight rail cars;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rights-of-way used for the purposes of transporting goods by rail between at least two terminuses.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order a property owner to clear or otherwise maintain a canal, drain, ditch, or levee located on the owner's private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who receives an order under Subsection (b) of this section may comply with the order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consent for the district to perform the clearing or maintenance described in the order;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performing the clearing or maintenance described in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property owner who receives an order under Subsection (b) of this section fails to comply with the order before the 180th day after the date the order was issued, the district, if the property owner does not deny access to the property, may enter the property to perform the clearing or maintenance described in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