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Buckingham)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read first time and referred to Committee on Health &amp; Human Services;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pharmacist communications to prescribing practitioners regarding  certain dispensed biological products.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562.0051(c),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