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86R21738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1273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1273:</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1273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denial of payment for preauthorized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1217, Insurance Code, is amended to read as follows:</w:t>
      </w:r>
    </w:p>
    <w:p w:rsidR="003F3435" w:rsidRDefault="0032493E">
      <w:pPr>
        <w:spacing w:line="480" w:lineRule="auto"/>
        <w:jc w:val="center"/>
      </w:pPr>
      <w:r>
        <w:t xml:space="preserve">CHAPTER 1217.  [</w:t>
      </w:r>
      <w:r>
        <w:rPr>
          <w:strike/>
        </w:rPr>
        <w:t xml:space="preserve">STANDARD REQUEST FORM FOR</w:t>
      </w:r>
      <w:r>
        <w:t xml:space="preserve">] PRIOR AUTHORIZATION OF HEALTH CARE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1217, Insurance Code, is amended by adding Section 1217.008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1217.008.</w:t>
      </w:r>
      <w:r>
        <w:rPr>
          <w:u w:val="single"/>
        </w:rPr>
        <w:t xml:space="preserve"> </w:t>
      </w:r>
      <w:r>
        <w:rPr>
          <w:u w:val="single"/>
        </w:rPr>
        <w:t xml:space="preserve"> </w:t>
      </w:r>
      <w:r>
        <w:rPr>
          <w:u w:val="single"/>
        </w:rPr>
        <w:t xml:space="preserve">PROHIBITION OF DENIAL OF PAYMENT FOR PREAUTHORIZED HEALTH CARE SERVICES.  (a)  If a health benefit plan issuer has given prior authorization for health care services to be performed by a physician or health care provider, the health benefit plan issuer may not deny or reduce payment to the physician or health care provider for those services based on medical necessity or appropriateness of care unless the physician or health care provider materially misrepresented the proposed health care services or substantially failed to perform the proposed health care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limits the liability of a physician or health care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 action brought under Chapter 36, Human Resources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violation of state or federal law governing medical assistance under Chapter 32, Human Resources Code, including medical assistance delivered through a managed care model or health benefits provided under the state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denial, recoupment, or suspension of or reduction in a payment to a physician or health care provider made by a managed care organization under the direction of the Health and Human Services Commission's office of the inspector general, under the office's authority to prevent, detect, audit, inspect, review, and investigate fraud, waste, and abuse in the provision and delivery of all health and human services in the state under Section 531.102,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by a managed care organization under Section 531.1131,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