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1275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sports betting; requiring an occupational permit; authorizing a fee; imposing a tax;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2005 to read as follows:</w:t>
      </w:r>
    </w:p>
    <w:p w:rsidR="003F3435" w:rsidRDefault="0032493E">
      <w:pPr>
        <w:spacing w:line="480" w:lineRule="auto"/>
        <w:jc w:val="center"/>
      </w:pPr>
      <w:r>
        <w:rPr>
          <w:u w:val="single"/>
        </w:rPr>
        <w:t xml:space="preserve">CHAPTER 2005.  SPORTS BETTING</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"College sport" means an athletic event: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at least one participant is a team from a public or private institution of higher education, regardless of where the institution is located;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 a Texas college sport.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"Permit holder" means a person who holds a permit issued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"Professional sport" means an athletic event involving at least two human competitors who receive compensation, in excess of their expenses, for participating in the event.  The term does not include greyhound racing or horse racing regulated under Subtitle A-1 (Texas Racing Act).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"Sports betting" means placing a wager on a professional sport or college sport competition. </w:t>
      </w:r>
      <w:r>
        <w:rPr>
          <w:u w:val="single"/>
        </w:rPr>
        <w:t xml:space="preserve"> </w:t>
      </w:r>
      <w:r>
        <w:rPr>
          <w:u w:val="single"/>
        </w:rPr>
        <w:t xml:space="preserve">The term does not include wagering on greyhound racing or horse racing regulated under Subtitle A-1 (Texas Racing Act).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"Sports betting platform" means a website, an application for a wireless telecommunication device, or any other similar technology that allows sports bettors to engage in sports betting.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"Sports bettor" means an individual physically located in this state who participates in sports betting.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college sport" means an athletic event in which at least one participant is a team from a Texas public or private institution of higher education.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"Youth sport" means an athletic event: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involving a participant who is 17 years of age or younger;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at least one participant is a team from a public or private elementary, middle, or secondary school, regardless of where the school is located.</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SPORTS BETTING PROGRAM. (a) The commission shall operate a sports betting program under the direction of the executive director that allows applicants to apply for permits to engage in sports betting operations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a sports betting program directed by the executive director that authorizes the department to operate a sports betting platform. Any revenue received from a sports betting platform operated by the department that exceeds the expenses necessary to operate the platform shall be deposited to the credit of the foundation school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bond or other surety satisfactory to the executive director from permit holders in the amount provided by rules adopted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revoke, or refuse to renew a permit issued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 into contracts for the operation of the sports betting program established under this section and enter into contracts related to sports betting with other states, provided that any contract entered into by the executive director prohibits assignment of the contract except with specific approval of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the rules necessary to protect the public health and safety, administer this chapter, and regulate a sports betting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REPORTS. </w:t>
      </w:r>
      <w:r>
        <w:rPr>
          <w:u w:val="single"/>
        </w:rPr>
        <w:t xml:space="preserve"> </w:t>
      </w:r>
      <w:r>
        <w:rPr>
          <w:u w:val="single"/>
        </w:rPr>
        <w:t xml:space="preserve">(a) </w:t>
      </w:r>
      <w:r>
        <w:rPr>
          <w:u w:val="single"/>
        </w:rPr>
        <w:t xml:space="preserve"> </w:t>
      </w:r>
      <w:r>
        <w:rPr>
          <w:u w:val="single"/>
        </w:rPr>
        <w:t xml:space="preserve">The executive director shall provide to the commission, the comptroller, the governor, the chair of the senate finance committee, and the chair of the house appropriations committee a monthly statement of the sports betting revenues received by the department and the expenses incurred by the department in regulating sports betting for the preceding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submit to the governor and the legislature an annual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sports betting revenues received by the department and the expenses incurred by the department in regulating sports betting for the preceding state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recommendations, including statutory amendments, of the executive director or commission related to regulating sports betting.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immediately report to the governor and the legislature any matter that requires an immediate change in state law to prevent abuse and circumvention of this chapter or rules adopted under this chapter or to rectify undesirable conditions in connection with the administration or operation of a sports betting program.</w:t>
      </w:r>
    </w:p>
    <w:p w:rsidR="003F3435" w:rsidRDefault="0032493E">
      <w:pPr>
        <w:spacing w:line="480" w:lineRule="auto"/>
        <w:jc w:val="center"/>
      </w:pPr>
      <w:r>
        <w:rPr>
          <w:u w:val="single"/>
        </w:rPr>
        <w:t xml:space="preserve">SUBCHAPTER C. SPORTS BETTING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PERMIT REQUIRED. </w:t>
      </w:r>
      <w:r>
        <w:rPr>
          <w:u w:val="single"/>
        </w:rPr>
        <w:t xml:space="preserve"> </w:t>
      </w:r>
      <w:r>
        <w:rPr>
          <w:u w:val="single"/>
        </w:rPr>
        <w:t xml:space="preserve">A person may not operate a sports betting program in this state unless the person holds a permit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APPLICATION AND FEE FOR SPORTS BETTING PERMIT; OFFENSE.  (a) An applicant for a sports betting permit shall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on a form prescribed by the executive director, containing the information prescribed in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of $250,000.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sports betting permit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background in sports betting;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experience in wagering activities in this state and other jurisdictions, including the applicant's history and reputation of operational integrity and regulatory 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applicant's proposed internal controls, including controls to ensure that an individual who is excluded from participating in sports betting does not participate in sports betting;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applicant's history of preventing compulsive gambling, including employee training programs;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executive director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background investigation on each applicant for a sports betting permit. The background investigation must include a credit history check, a tax record check, and a criminal history record check.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may issue no more than five permits under this section. </w:t>
      </w:r>
      <w:r>
        <w:rPr>
          <w:u w:val="single"/>
        </w:rPr>
        <w:t xml:space="preserve"> </w:t>
      </w:r>
      <w:r>
        <w:rPr>
          <w:u w:val="single"/>
        </w:rPr>
        <w:t xml:space="preserve">If more than five applicants submit applications, the executive director shall issue permits to the five applicants the executive director determines will best: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the duties of a permit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revenue to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that is revoked or expired is not counted for purposes of the limit provided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director shall approve an application and grant a permit not later than the 60th day after the date the application is received unless the executive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prohibited from issuing additional permits under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finds an applicable ground for denial under Section 2005.103.</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director's decision under Subsection (f) is final unless appealed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DENIAL OF PERMIT ISSUANCE OR RENEWAL. </w:t>
      </w:r>
      <w:r>
        <w:rPr>
          <w:u w:val="single"/>
        </w:rPr>
        <w:t xml:space="preserve"> </w:t>
      </w:r>
      <w:r>
        <w:rPr>
          <w:u w:val="single"/>
        </w:rPr>
        <w:t xml:space="preserve">The executive director may deny issuance or renewal of a permit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reasonably believes: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is unable to satisfy the duties of a permit holder as described in Section 2005.107;</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or its directors lack good character, honesty, or integrity;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applicant's prior activities, criminal history, reputation, or associations are likely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pose a threat to the public interest;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impede the regulation of sports betting;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promote unfair or illegal activities in the conduct of sports betting;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its directors knowingly make a false statement of material fact or deliberately fail to disclose information requested by the executive director;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or its directors knowingly fail to comply with this chapter, rules adopted under this chapter, or any requirements of the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or its directors were convicted of a felony, a crime of moral turpitude, or any criminal offense involving dishonesty or breach of trust within the 10 years preceding the date the permit application is submitted;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license, registration, or permit to conduct a sports betting operation issued by any other jurisdiction has been suspended or revoked;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applicant defaults in payment of any obligation or debt due to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applicant's application is incomplete.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BOND REQUIRED. </w:t>
      </w:r>
      <w:r>
        <w:rPr>
          <w:u w:val="single"/>
        </w:rPr>
        <w:t xml:space="preserve"> </w:t>
      </w:r>
      <w:r>
        <w:rPr>
          <w:u w:val="single"/>
        </w:rPr>
        <w:t xml:space="preserve">Before issuance of a permit, each permit holder must be bonded by a surety company entitled to conduct business in this state in the amount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2005.105.</w:t>
      </w:r>
      <w:r>
        <w:rPr>
          <w:u w:val="single"/>
        </w:rPr>
        <w:t xml:space="preserve"> </w:t>
      </w:r>
      <w:r>
        <w:rPr>
          <w:u w:val="single"/>
        </w:rPr>
        <w:t xml:space="preserve"> </w:t>
      </w:r>
      <w:r>
        <w:rPr>
          <w:u w:val="single"/>
        </w:rPr>
        <w:t xml:space="preserve">RENEWAL OF PERMIT.  (a) A permit issued under this subchapter expires on the third anniversary of the date the permit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before the date a permit expires, a permit holder wishing to renew the permit shall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on a form prescribed by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renewal fee of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deny a permit renewal if the executive director finds a ground for denial under Section 2005.103.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director's action is final unless appealed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2005.106.</w:t>
      </w:r>
      <w:r>
        <w:rPr>
          <w:u w:val="single"/>
        </w:rPr>
        <w:t xml:space="preserve"> </w:t>
      </w:r>
      <w:r>
        <w:rPr>
          <w:u w:val="single"/>
        </w:rPr>
        <w:t xml:space="preserve"> </w:t>
      </w:r>
      <w:r>
        <w:rPr>
          <w:u w:val="single"/>
        </w:rPr>
        <w:t xml:space="preserve">CRIMINAL PENALTY. </w:t>
      </w:r>
      <w:r>
        <w:rPr>
          <w:u w:val="single"/>
        </w:rPr>
        <w:t xml:space="preserve"> </w:t>
      </w:r>
      <w:r>
        <w:rPr>
          <w:u w:val="single"/>
        </w:rPr>
        <w:t xml:space="preserve">(a) </w:t>
      </w:r>
      <w:r>
        <w:rPr>
          <w:u w:val="single"/>
        </w:rPr>
        <w:t xml:space="preserve"> </w:t>
      </w:r>
      <w:r>
        <w:rPr>
          <w:u w:val="single"/>
        </w:rPr>
        <w:t xml:space="preserve">Any person who knowingly falsifies, conceals, or misrepresents a material fact or knowingly makes a false, fictitious, or fraudulent statement or representation in any application under this subchapter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2005.107.</w:t>
      </w:r>
      <w:r>
        <w:rPr>
          <w:u w:val="single"/>
        </w:rPr>
        <w:t xml:space="preserve"> </w:t>
      </w:r>
      <w:r>
        <w:rPr>
          <w:u w:val="single"/>
        </w:rPr>
        <w:t xml:space="preserve"> </w:t>
      </w:r>
      <w:r>
        <w:rPr>
          <w:u w:val="single"/>
        </w:rPr>
        <w:t xml:space="preserve">DUTIES OF PERMIT HOLDERS.  (a) A permit holder shall ensure that its sports betting operation takes reasonable measures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only individuals physically located in this state to place bets through the permit holder's sports betting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 the confidential information of sports bettors using the permit holder's sports betting platform;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betting that is prohibited under this chapter or other state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an individual to restrict the individual's access to placing bets with the permit holder, including sharing with the department on the individual's request the restriction for the sole purpose of the department disseminating the request to other permit holders;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procedures to detect suspicious or illegal betting activity, including measures to immediately report the activity to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appropriate withholding of the applicable amount of state tax as required by Section 2005.108 and any federal income tax required under other laws or by rule for persons who receive income from sports betting.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shall maintain records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sports betting placed with the permit holder, including records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sports bettor's personal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and type of bet;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time and location of the bet;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outcome of the bet;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suspicious or illegal sports betting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holder shall disclose the records described in Subsection (b) to the department on request and shall maintain the records until at least the third anniversary of the date the related sports event occurs.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shall ensure that advertisements for its sports betting operations: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disclose the identity of the permit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about or links to resources related to gambling addiction;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not misleading to a reasonable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 not target persons under the age of 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not sublicense, convey, concede, or otherwise transfer a permit to a third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permit holder is prohibited from holding itself out to the public as a sports betting operation under more than two brands.</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permit holder shall conspicuously display the permit holder's identity to sports bettors on any sports betting platform operated by the permit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2005.108.</w:t>
      </w:r>
      <w:r>
        <w:rPr>
          <w:u w:val="single"/>
        </w:rPr>
        <w:t xml:space="preserve"> </w:t>
      </w:r>
      <w:r>
        <w:rPr>
          <w:u w:val="single"/>
        </w:rPr>
        <w:t xml:space="preserve"> </w:t>
      </w:r>
      <w:r>
        <w:rPr>
          <w:u w:val="single"/>
        </w:rPr>
        <w:t xml:space="preserve">TAX; USE OF TAX REVENUE.  (a)</w:t>
      </w:r>
      <w:r>
        <w:rPr>
          <w:u w:val="single"/>
        </w:rPr>
        <w:t xml:space="preserve"> </w:t>
      </w:r>
      <w:r>
        <w:rPr>
          <w:u w:val="single"/>
        </w:rPr>
        <w:t xml:space="preserve"> </w:t>
      </w:r>
      <w:r>
        <w:rPr>
          <w:u w:val="single"/>
        </w:rPr>
        <w:t xml:space="preserve">A tax of 6.25 percent is imposed on each bet placed by a sports bettor under this chapter.  The tax is to be collected by the permit holder at the time the bet is placed.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imposed under this section is payable monthly to the department, and the permit holder shall remit the taxes on or before the 20th day of the next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permit holder's accounting necessitates corrections to a previously remitted tax, the permit holder shall document the corrections when the following month's taxes are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deposit tax revenue collected under this section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2005.109.</w:t>
      </w:r>
      <w:r>
        <w:rPr>
          <w:u w:val="single"/>
        </w:rPr>
        <w:t xml:space="preserve"> </w:t>
      </w:r>
      <w:r>
        <w:rPr>
          <w:u w:val="single"/>
        </w:rPr>
        <w:t xml:space="preserve"> </w:t>
      </w:r>
      <w:r>
        <w:rPr>
          <w:u w:val="single"/>
        </w:rPr>
        <w:t xml:space="preserve">LIQUIDITY POOLS.  (a)</w:t>
      </w:r>
      <w:r>
        <w:rPr>
          <w:u w:val="single"/>
        </w:rPr>
        <w:t xml:space="preserve"> </w:t>
      </w:r>
      <w:r>
        <w:rPr>
          <w:u w:val="single"/>
        </w:rPr>
        <w:t xml:space="preserve"> </w:t>
      </w:r>
      <w:r>
        <w:rPr>
          <w:u w:val="single"/>
        </w:rPr>
        <w:t xml:space="preserve">The commission may adopt rules authorizing permit holders to offset loss and manage risk, directly or with a third party approved by the department, through the use of a liquidity pool in this state or another jurisdiction provided that the permit holder, or an affiliate of the permit holder, is licensed or otherwise authorized by that jurisdiction to operate a sports betting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holder's use of a liquidity pool does not eliminate the permit holder's duty to ensure that sufficient funds are available to pay bettors.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2005.110.</w:t>
      </w:r>
      <w:r>
        <w:rPr>
          <w:u w:val="single"/>
        </w:rPr>
        <w:t xml:space="preserve"> </w:t>
      </w:r>
      <w:r>
        <w:rPr>
          <w:u w:val="single"/>
        </w:rPr>
        <w:t xml:space="preserve"> </w:t>
      </w:r>
      <w:r>
        <w:rPr>
          <w:u w:val="single"/>
        </w:rPr>
        <w:t xml:space="preserve">INTERMEDIATE ROUTING OF ELECTRONIC DATA.  (a)</w:t>
      </w:r>
      <w:r>
        <w:rPr>
          <w:u w:val="single"/>
        </w:rPr>
        <w:t xml:space="preserve"> </w:t>
      </w:r>
      <w:r>
        <w:rPr>
          <w:u w:val="single"/>
        </w:rPr>
        <w:t xml:space="preserve"> </w:t>
      </w:r>
      <w:r>
        <w:rPr>
          <w:u w:val="single"/>
        </w:rPr>
        <w:t xml:space="preserve">Sports betting offered to a sports bettor in this state must be initiated and received within this state unless otherwise authorized by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intermediate routing of electronic data relating to sports betting authorized under this chapter does not determine the location in which a bet is initiated and received for purposes of determining compliance with this chapter.</w:t>
      </w:r>
    </w:p>
    <w:p w:rsidR="003F3435" w:rsidRDefault="0032493E">
      <w:pPr>
        <w:spacing w:line="480" w:lineRule="auto"/>
        <w:jc w:val="center"/>
      </w:pPr>
      <w:r>
        <w:rPr>
          <w:u w:val="single"/>
        </w:rPr>
        <w:t xml:space="preserve">SUBCHAPTER D.  DISCIPLINARY ACTIONS AND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CIVIL PENALTIES; SUSPENSION AND REVOCATION OF PERMIT.  (a)</w:t>
      </w:r>
      <w:r>
        <w:rPr>
          <w:u w:val="single"/>
        </w:rPr>
        <w:t xml:space="preserve"> </w:t>
      </w:r>
      <w:r>
        <w:rPr>
          <w:u w:val="single"/>
        </w:rPr>
        <w:t xml:space="preserve"> </w:t>
      </w:r>
      <w:r>
        <w:rPr>
          <w:u w:val="single"/>
        </w:rPr>
        <w:t xml:space="preserve">If the executive director determines a permit holder has violated this chapter or rules adopted under this chapter, the executive director in accordance with Chapter 51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or revoke the permit holder's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monetary penalty not to exceed $1,000 for each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taken by the executive director under this section is final unless appealed in accordance with Sec. 2005.152.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APPEAL.  (a)</w:t>
      </w:r>
      <w:r>
        <w:rPr>
          <w:u w:val="single"/>
        </w:rPr>
        <w:t xml:space="preserve"> </w:t>
      </w:r>
      <w:r>
        <w:rPr>
          <w:u w:val="single"/>
        </w:rPr>
        <w:t xml:space="preserve"> </w:t>
      </w:r>
      <w:r>
        <w:rPr>
          <w:u w:val="single"/>
        </w:rPr>
        <w:t xml:space="preserve">The commission shall hear and decide an appeal of any denial of a permit by the executive director or suspension or revocation of a permit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of the commission in granting or denying a permit, or suspending or revoking a permit under this chapter may be referred to the State Office of Administrative Hearings for a contested case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2005.153.</w:t>
      </w:r>
      <w:r>
        <w:rPr>
          <w:u w:val="single"/>
        </w:rPr>
        <w:t xml:space="preserve"> </w:t>
      </w:r>
      <w:r>
        <w:rPr>
          <w:u w:val="single"/>
        </w:rPr>
        <w:t xml:space="preserve"> </w:t>
      </w:r>
      <w:r>
        <w:rPr>
          <w:u w:val="single"/>
        </w:rPr>
        <w:t xml:space="preserve">PROHIBITED BETTING; OFFENSES.  (a)</w:t>
      </w:r>
      <w:r>
        <w:rPr>
          <w:u w:val="single"/>
        </w:rPr>
        <w:t xml:space="preserve"> </w:t>
      </w:r>
      <w:r>
        <w:rPr>
          <w:u w:val="single"/>
        </w:rPr>
        <w:t xml:space="preserve"> </w:t>
      </w:r>
      <w:r>
        <w:rPr>
          <w:u w:val="single"/>
        </w:rPr>
        <w:t xml:space="preserve">A person commits an offense if the person places or accepts a bet on Texas college sports or youth sports.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accepts or redeems or offers to accept or redeem a sports bet made by or on behalf of a person under 21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2005.154.</w:t>
      </w:r>
      <w:r>
        <w:rPr>
          <w:u w:val="single"/>
        </w:rPr>
        <w:t xml:space="preserve"> </w:t>
      </w:r>
      <w:r>
        <w:rPr>
          <w:u w:val="single"/>
        </w:rPr>
        <w:t xml:space="preserve"> </w:t>
      </w:r>
      <w:r>
        <w:rPr>
          <w:u w:val="single"/>
        </w:rPr>
        <w:t xml:space="preserve">PERSONS PROHIBITED FROM BETTING; OFFENSE.  (a)</w:t>
      </w:r>
      <w:r>
        <w:rPr>
          <w:u w:val="single"/>
        </w:rPr>
        <w:t xml:space="preserve"> </w:t>
      </w:r>
      <w:r>
        <w:rPr>
          <w:u w:val="single"/>
        </w:rPr>
        <w:t xml:space="preserve"> </w:t>
      </w:r>
      <w:r>
        <w:rPr>
          <w:u w:val="single"/>
        </w:rPr>
        <w:t xml:space="preserve">A person commits an offense if the person places a sports bet and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officer, or employee of the commission 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permit holder or an officer or employee of a permit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or an employee of any entity working directly on a contract relating to sports betting with the department;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competitor, coach, trainer, employee, or owner of a team in a sports event, or any referee for a sports event, and the actor places the sports bet on that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2005.155.</w:t>
      </w:r>
      <w:r>
        <w:rPr>
          <w:u w:val="single"/>
        </w:rPr>
        <w:t xml:space="preserve"> </w:t>
      </w:r>
      <w:r>
        <w:rPr>
          <w:u w:val="single"/>
        </w:rPr>
        <w:t xml:space="preserve"> </w:t>
      </w:r>
      <w:r>
        <w:rPr>
          <w:u w:val="single"/>
        </w:rPr>
        <w:t xml:space="preserve">OPERATION AND ADVERTISING OF UNPERMITTED FACILITY PROHIBITED; CIVIL PENALTY.  (a)</w:t>
      </w:r>
      <w:r>
        <w:rPr>
          <w:u w:val="single"/>
        </w:rPr>
        <w:t xml:space="preserve"> </w:t>
      </w:r>
      <w:r>
        <w:rPr>
          <w:u w:val="single"/>
        </w:rPr>
        <w:t xml:space="preserve"> </w:t>
      </w:r>
      <w:r>
        <w:rPr>
          <w:u w:val="single"/>
        </w:rPr>
        <w:t xml:space="preserve">A person may not make the person's premises available for placing wagers on sports betting using the Internet or advertise that the person's premises may be used for that purpose unless the person holds a permit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impose a monetary penalty for each violation of this section.  For a person determined to have made the person's premises available for placing wagers on sports betting using the Internet, the penalty may not exceed $1,000 per day per individual who places a bet. For a person determined to have advertised that the person's premises may be used for that purpose, the penalty may not exceed $10,000 per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2005,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47.09(a), Penal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2005,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authorizing the legislature to legalize sports betting in this state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