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86R3111 TSS-F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Smithee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exemptions to reporting and list requirements for certain attorneys ad litem, guardians ad litem, mediators, and guardians.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36.003,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36.003.</w:t>
      </w:r>
      <w:r xml:space="preserve">
        <w:t> </w:t>
      </w:r>
      <w:r xml:space="preserve">
        <w:t> </w:t>
      </w:r>
      <w:r>
        <w:t xml:space="preserve">EXEMPTION.  The reporting requirements of Section 36.004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information made confidential under state or federal law, including applicable rules;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37.002,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37.002.</w:t>
      </w:r>
      <w:r xml:space="preserve">
        <w:t> </w:t>
      </w:r>
      <w:r xml:space="preserve">
        <w:t> </w:t>
      </w:r>
      <w:r>
        <w:t xml:space="preserve">EXEMPTION.  The appointment requirements of Section 37.004 do not apply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mediation conducted by an alternative dispute resolution system established under Chapter 152, Civil Practice and Remedies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guardian ad litem or other person appointed under a program authorized by Section 107.031, Family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attorney ad litem, guardian ad litem, amicus attorney, or mediator appointed under a domestic relations office established under Chapter 203,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person other than an attorney or a private professional guardian appointed to serve as a guardian as defined by Section 1002.012, Estates Code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without expectation or receipt of compensation;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attorney ad litem, guardian ad litem, amicus attorney, or mediator providing services as a volunteer of a nonprofit organization that provides pro bono legal services to the indigent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