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86R8244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comptroller of public accounts to establish and maintain a political subdivision disaster expenditure database.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403.0243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403.0243.</w:t>
      </w:r>
      <w:r>
        <w:rPr>
          <w:u w:val="single"/>
        </w:rPr>
        <w:t xml:space="preserve"> </w:t>
      </w:r>
      <w:r>
        <w:rPr>
          <w:u w:val="single"/>
        </w:rPr>
        <w:t xml:space="preserve"> </w:t>
      </w:r>
      <w:r>
        <w:rPr>
          <w:u w:val="single"/>
        </w:rPr>
        <w:t xml:space="preserve">POLITICAL SUBDIVISION DISASTER EXPENDITURE DATABASE.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maintain on the Internet an electronically searchable database that contains the following information for each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budgeted by the political subdivision for disaster preparedness, response, rebuilding, and mitigation in the most recent fiscal year of the political subdivision that is complete;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spent by the political subdivision for disaster preparedness, response, rebuilding, and mitigation in the most recent fiscal year of the political subdivision that is complete;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received by the political subdivision for disaster preparedness, response, rebuilding, and mitigation in the most recent fiscal year of the political subdivision that is complete from the following categories, stated as a total amount and a per category amount: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federal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government;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public entity, including another political subdivision;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private entity, including an insurance company or nonprofit charitable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update the information in the database for a political subdivision not later than the 45th day after the date on which the comptroller receives a report from the political subdivision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political subdivision shall, at the close of the political subdivision's fiscal year, prepare and file with the comptroller an annual report that contains for that fiscal year the information described by Subsection (b).  Each political subdivision must file the report required by this subsection in a form and in the manner prescribed by the comptroller.  The comptroller shall prepare a form for the report required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establish procedures and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shall:</w:t>
      </w:r>
    </w:p>
    <w:p w:rsidR="003F3435" w:rsidRDefault="0032493E">
      <w:pPr>
        <w:spacing w:line="480" w:lineRule="auto"/>
        <w:ind w:firstLine="1440"/>
        <w:jc w:val="both"/>
      </w:pPr>
      <w:r>
        <w:t xml:space="preserve">(1)</w:t>
      </w:r>
      <w:r xml:space="preserve">
        <w:t> </w:t>
      </w:r>
      <w:r xml:space="preserve">
        <w:t> </w:t>
      </w:r>
      <w:r>
        <w:t xml:space="preserve">prepare and make available the form required by Section 403.0243(d), Government Code, as added by this Act, not later than October 1, 2019; and</w:t>
      </w:r>
    </w:p>
    <w:p w:rsidR="003F3435" w:rsidRDefault="0032493E">
      <w:pPr>
        <w:spacing w:line="480" w:lineRule="auto"/>
        <w:ind w:firstLine="1440"/>
        <w:jc w:val="both"/>
      </w:pPr>
      <w:r>
        <w:t xml:space="preserve">(2)</w:t>
      </w:r>
      <w:r xml:space="preserve">
        <w:t> </w:t>
      </w:r>
      <w:r xml:space="preserve">
        <w:t> </w:t>
      </w:r>
      <w:r>
        <w:t xml:space="preserve">establish and post on the Internet the database required by Section 403.0243, Government Code, as added by this Act, not later than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first report required of a political subdivision under Section 403.0243(d), Government Code, as added by this Act, must be filed with the comptroller of public accounts at the close of the political subdivision's 2019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