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86R29309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1301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1301:</w:t>
      </w: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C.S.H.B.</w:t>
      </w:r>
      <w:r xml:space="preserve">
        <w:t> </w:t>
      </w:r>
      <w:r>
        <w:t xml:space="preserve">No.</w:t>
      </w:r>
      <w:r xml:space="preserve">
        <w:t> </w:t>
      </w:r>
      <w:r>
        <w:t xml:space="preserve">1301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school district corrective action plan to improve district transparency in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39, Education Code, is amended by adding Section 39.060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39.060.</w:t>
      </w:r>
      <w:r>
        <w:rPr>
          <w:u w:val="single"/>
        </w:rPr>
        <w:t xml:space="preserve"> </w:t>
      </w:r>
      <w:r>
        <w:rPr>
          <w:u w:val="single"/>
        </w:rPr>
        <w:t xml:space="preserve"> </w:t>
      </w:r>
      <w:r>
        <w:rPr>
          <w:u w:val="single"/>
        </w:rPr>
        <w:t xml:space="preserve">CORRECTIVE ACTION PLAN FOR CERTAIN VIOLATIONS.  (a)  If a school district is notified by the agency of a special accreditation investigation for an alleged violation of compliance with the requirements for open meetings under Chapter 551, Government Code, the district's board of trustees must, with assistance from the agency, prepare a corrective action plan to improve the transparency of board activities.  The plan must include methods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increase information reporting frequency as determined necessary by the agency;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improve accessibility of reported information;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ensure that reported information is easily understandable to parents of students enrolled in the district and community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school district, with assistance from the agency, must complete a corrective action plan not later than the 90th day after the date the agency completes the special accreditation investigation described by Subsection (a).</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