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Research Institute;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Health and Safety Code, is amended by adding Chapter 1002 to read as follows:</w:t>
      </w:r>
    </w:p>
    <w:p w:rsidR="003F3435" w:rsidRDefault="0032493E">
      <w:pPr>
        <w:spacing w:line="480" w:lineRule="auto"/>
        <w:jc w:val="center"/>
      </w:pPr>
      <w:r>
        <w:rPr>
          <w:u w:val="single"/>
        </w:rPr>
        <w:t xml:space="preserve">CHAPTER 1002.  TEXAS MENTAL HEALTH RESEARCH INSTITUTE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means the Texas Mental Health Research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"Oversight committee" means the Texas Mental Health Research Institute Oversight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"Research review committee" means the Texas Mental Health Research Institute Research Review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1002.0002.</w:t>
      </w:r>
      <w:r>
        <w:rPr>
          <w:u w:val="single"/>
        </w:rPr>
        <w:t xml:space="preserve"> </w:t>
      </w:r>
      <w:r>
        <w:rPr>
          <w:u w:val="single"/>
        </w:rPr>
        <w:t xml:space="preserve"> </w:t>
      </w:r>
      <w:r>
        <w:rPr>
          <w:u w:val="single"/>
        </w:rPr>
        <w:t xml:space="preserve">PURPOSE.  The Texas Mental Health Research Institute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Texas mental health research plan to promote synergistic collaboration in mental health and substance use disorder research across university systems in this state and advance the research component of the statewide behavioral health strategic plan or any appropriate successor statewide strategic plan relating to behavioral health;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expedite innovation in mental health and substance use disorder research to improve the health of the residents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create, or expand research capabilities of university systems in this state in a manner that will promote a substantial increase in mental health and substance use disorder research.</w:t>
      </w:r>
    </w:p>
    <w:p w:rsidR="003F3435" w:rsidRDefault="0032493E">
      <w:pPr>
        <w:spacing w:line="480" w:lineRule="auto"/>
        <w:jc w:val="center"/>
      </w:pPr>
      <w:r>
        <w:rPr>
          <w:u w:val="single"/>
        </w:rPr>
        <w:t xml:space="preserve">SUBCHAPTER B.  POWERS AND DUTIES OF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1002.0051.</w:t>
      </w:r>
      <w:r>
        <w:rPr>
          <w:u w:val="single"/>
        </w:rPr>
        <w:t xml:space="preserve"> </w:t>
      </w:r>
      <w:r>
        <w:rPr>
          <w:u w:val="single"/>
        </w:rPr>
        <w:t xml:space="preserve"> </w:t>
      </w:r>
      <w:r>
        <w:rPr>
          <w:u w:val="single"/>
        </w:rPr>
        <w:t xml:space="preserve">POWERS AND DUTIES.  (a)  The institute: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make grants to health-related institutions of higher education to further the purpose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establish the appropriate standards and oversight bodies to ensure the proper use of funds authorized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employ necessary staff to provide administrative support to the institute;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continuously monitor grant contracts and agreements authorized under this chapter and ensure that each grant recipient complies with the terms and conditions of the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ensure that all grant proposals comply with this chapter and rules adopted under this chapter before the proposals are submitted to the oversight committee for approval;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establish procedures to document that the institute, its employees, and any committee members appointed under this chapter comply with all rules governing conflicts of interest and the peer review process developed under Section 1002.0252.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employ a chief compliance officer to monitor and report to the oversight committee regarding compliance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duties under this chapter, the chief compliance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all grant proposals comply with this chapter and rules adopted under this chapter before the proposals are submitted to the oversight committee for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 and observe research review committee meetings to ensure compliance with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1002.0052.</w:t>
      </w:r>
      <w:r>
        <w:rPr>
          <w:u w:val="single"/>
        </w:rPr>
        <w:t xml:space="preserve"> </w:t>
      </w:r>
      <w:r>
        <w:rPr>
          <w:u w:val="single"/>
        </w:rPr>
        <w:t xml:space="preserve"> </w:t>
      </w:r>
      <w:r>
        <w:rPr>
          <w:u w:val="single"/>
        </w:rPr>
        <w:t xml:space="preserve">CHIEF EXECUTIVE OFFICER.  (a)  The oversight committee shall hire a chief executive officer.  The chief executive officer shall perform the duties required under this chapter or designated by the oversight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must have a demonstrated ability to lead and develop academic, commercial, and governmental partnerships and coalitions.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1002.0053.</w:t>
      </w:r>
      <w:r>
        <w:rPr>
          <w:u w:val="single"/>
        </w:rPr>
        <w:t xml:space="preserve"> </w:t>
      </w:r>
      <w:r>
        <w:rPr>
          <w:u w:val="single"/>
        </w:rPr>
        <w:t xml:space="preserve"> </w:t>
      </w:r>
      <w:r>
        <w:rPr>
          <w:u w:val="single"/>
        </w:rPr>
        <w:t xml:space="preserve">ANNUAL REPORT.  Not later than January 31 of each year, the institute shall prepare and submit to the governor, the lieutenant governor, the speaker of the house of representatives, and each standing committee of the legislature having primary jurisdiction over mental health or substance use issues and post on the institute's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institute's activities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grant recipients during the preceding state fiscal year, including the grant amount awarded to each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applicant the institute is considering awarding a grant;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research accomplishments made during the preceding state fiscal year by a grant recipient;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institute's future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1002.0054.</w:t>
      </w:r>
      <w:r>
        <w:rPr>
          <w:u w:val="single"/>
        </w:rPr>
        <w:t xml:space="preserve"> </w:t>
      </w:r>
      <w:r>
        <w:rPr>
          <w:u w:val="single"/>
        </w:rPr>
        <w:t xml:space="preserve"> </w:t>
      </w:r>
      <w:r>
        <w:rPr>
          <w:u w:val="single"/>
        </w:rPr>
        <w:t xml:space="preserve">INDEPENDENT FINANCIAL AUDIT FOR REVIEW BY COMPTROLLER.  (a)  The institute shall annually commission an independent financial audit of its activities from a certified public accounting firm.  The institute shall provide the audit to the comptroller.  The comptroller shall review and evaluate the audit and annually issue a public report of that review.  The comptroller shall make recommendations concerning the institute's financial practices and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shall review the annual financial audit, the comptroller's report and evaluation of that audit, and the financial practices of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1002.0055.</w:t>
      </w:r>
      <w:r>
        <w:rPr>
          <w:u w:val="single"/>
        </w:rPr>
        <w:t xml:space="preserve"> </w:t>
      </w:r>
      <w:r>
        <w:rPr>
          <w:u w:val="single"/>
        </w:rPr>
        <w:t xml:space="preserve"> </w:t>
      </w:r>
      <w:r>
        <w:rPr>
          <w:u w:val="single"/>
        </w:rPr>
        <w:t xml:space="preserve">GRANT RECORDS.  (a)  The institute shall maintain complete records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review of each grant application submitted to the institute, including the score assigned to each grant application reviewed, regardless of whether the grant application is not funded by the institute or is withdrawn after submission to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grant recipient's financial reports, including the amount of matching funds dedicated to the research specified for the grant award;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grant recipient's progress reports;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institute's review of the grant recipient's financial and progress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have periodic audits made of any electronic grant management system used to maintain records of grant applications and grant awards under this section.  The institute shall address in a timely manner each weakness identified in an audit of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1002.0056.</w:t>
      </w:r>
      <w:r>
        <w:rPr>
          <w:u w:val="single"/>
        </w:rPr>
        <w:t xml:space="preserve"> </w:t>
      </w:r>
      <w:r>
        <w:rPr>
          <w:u w:val="single"/>
        </w:rPr>
        <w:t xml:space="preserve"> </w:t>
      </w:r>
      <w:r>
        <w:rPr>
          <w:u w:val="single"/>
        </w:rPr>
        <w:t xml:space="preserve">GIFTS AND GRANTS.  The institute may solicit and accept gifts and grants from any source for the purposes of this chapter.</w:t>
      </w:r>
    </w:p>
    <w:p w:rsidR="003F3435" w:rsidRDefault="0032493E">
      <w:pPr>
        <w:spacing w:line="480" w:lineRule="auto"/>
        <w:jc w:val="center"/>
      </w:pPr>
      <w:r>
        <w:rPr>
          <w:u w:val="single"/>
        </w:rPr>
        <w:t xml:space="preserve">SUBCHAPTER C.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1002.0101.</w:t>
      </w:r>
      <w:r>
        <w:rPr>
          <w:u w:val="single"/>
        </w:rPr>
        <w:t xml:space="preserve"> </w:t>
      </w:r>
      <w:r>
        <w:rPr>
          <w:u w:val="single"/>
        </w:rPr>
        <w:t xml:space="preserve"> </w:t>
      </w:r>
      <w:r>
        <w:rPr>
          <w:u w:val="single"/>
        </w:rPr>
        <w:t xml:space="preserve">COMPOSITION OF OVERSIGHT COMMITTEE.  (a)  The oversight committee is the governing body of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1002.0102.</w:t>
      </w:r>
      <w:r>
        <w:rPr>
          <w:u w:val="single"/>
        </w:rPr>
        <w:t xml:space="preserve"> </w:t>
      </w:r>
      <w:r>
        <w:rPr>
          <w:u w:val="single"/>
        </w:rPr>
        <w:t xml:space="preserve"> </w:t>
      </w:r>
      <w:r>
        <w:rPr>
          <w:u w:val="single"/>
        </w:rPr>
        <w:t xml:space="preserve">TERMS; VACANCY.  (a)  Oversight committee members appointed by the governor, lieutenant governor, and speaker of the house of representatives serve at the pleasure of the appointing office for staggered six-year terms, with the terms of three members expiring January 31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an oversight committee member's term expires, the appropriate appointing authority shall appoint a replacement.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on the oversight committee,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1002.0103.</w:t>
      </w:r>
      <w:r>
        <w:rPr>
          <w:u w:val="single"/>
        </w:rPr>
        <w:t xml:space="preserve"> </w:t>
      </w:r>
      <w:r>
        <w:rPr>
          <w:u w:val="single"/>
        </w:rPr>
        <w:t xml:space="preserve"> </w:t>
      </w:r>
      <w:r>
        <w:rPr>
          <w:u w:val="single"/>
        </w:rPr>
        <w:t xml:space="preserve">OFFICERS.  (a)  The oversight committee shall elect a presiding officer and assistant presiding officer from among its members every two years.  The oversight committee may elect additional officers from among its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and assistant presiding officer may not serve in the position to which the officer was elected for two consecutive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approve duties and responsibilities for officers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policies that distinguish the responsibilities of the oversight committee and the committee's officers from the responsibilities of the chief executive officer and the employees of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1002.0104.</w:t>
      </w:r>
      <w:r>
        <w:rPr>
          <w:u w:val="single"/>
        </w:rPr>
        <w:t xml:space="preserve"> </w:t>
      </w:r>
      <w:r>
        <w:rPr>
          <w:u w:val="single"/>
        </w:rPr>
        <w:t xml:space="preserve"> </w:t>
      </w:r>
      <w:r>
        <w:rPr>
          <w:u w:val="single"/>
        </w:rPr>
        <w:t xml:space="preserve">EXPENSES.  A member of the oversight committee is not entitled to compensation but is entitled to reimbursement as provided by the General Appropriations Act for actual and necessary expenses incurred in attending meetings of the committee or performing other official duties authorized by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1002.0105.</w:t>
      </w:r>
      <w:r>
        <w:rPr>
          <w:u w:val="single"/>
        </w:rPr>
        <w:t xml:space="preserve"> </w:t>
      </w:r>
      <w:r>
        <w:rPr>
          <w:u w:val="single"/>
        </w:rPr>
        <w:t xml:space="preserve"> </w:t>
      </w:r>
      <w:r>
        <w:rPr>
          <w:u w:val="single"/>
        </w:rPr>
        <w:t xml:space="preserve">CONFLICT OF INTEREST.  (a)  The oversight committee shall adopt conflict-of-interest rules, based on standards adopted by the National Institutes of Health, to govern members of the oversight committee, members of the research review committee, and institute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limits the authority of the oversight committee to adopt additional conflict-of-interest rules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1002.0106.</w:t>
      </w:r>
      <w:r>
        <w:rPr>
          <w:u w:val="single"/>
        </w:rPr>
        <w:t xml:space="preserve"> </w:t>
      </w:r>
      <w:r>
        <w:rPr>
          <w:u w:val="single"/>
        </w:rPr>
        <w:t xml:space="preserve"> </w:t>
      </w:r>
      <w:r>
        <w:rPr>
          <w:u w:val="single"/>
        </w:rPr>
        <w:t xml:space="preserve">POWERS AND DUTIES.  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 a chief executive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set priorities as prescribed by the legislature for each grant program that receives money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priorities set under Subdivision (2) in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1002.0107.</w:t>
      </w:r>
      <w:r>
        <w:rPr>
          <w:u w:val="single"/>
        </w:rPr>
        <w:t xml:space="preserve"> </w:t>
      </w:r>
      <w:r>
        <w:rPr>
          <w:u w:val="single"/>
        </w:rPr>
        <w:t xml:space="preserve"> </w:t>
      </w:r>
      <w:r>
        <w:rPr>
          <w:u w:val="single"/>
        </w:rPr>
        <w:t xml:space="preserve">RULEMAKING AUTHORITY.  The oversight committee may adopt rules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1002.0108.</w:t>
      </w:r>
      <w:r>
        <w:rPr>
          <w:u w:val="single"/>
        </w:rPr>
        <w:t xml:space="preserve"> </w:t>
      </w:r>
      <w:r>
        <w:rPr>
          <w:u w:val="single"/>
        </w:rPr>
        <w:t xml:space="preserve"> </w:t>
      </w:r>
      <w:r>
        <w:rPr>
          <w:u w:val="single"/>
        </w:rPr>
        <w:t xml:space="preserve">CODE OF CONDUCT.  The oversight committee shall adopt a code of conduct applicable to each member of the oversight committee, member of the research review committee, and institute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1002.0109.</w:t>
      </w:r>
      <w:r>
        <w:rPr>
          <w:u w:val="single"/>
        </w:rPr>
        <w:t xml:space="preserve"> </w:t>
      </w:r>
      <w:r>
        <w:rPr>
          <w:u w:val="single"/>
        </w:rPr>
        <w:t xml:space="preserve"> </w:t>
      </w:r>
      <w:r>
        <w:rPr>
          <w:u w:val="single"/>
        </w:rPr>
        <w:t xml:space="preserve">FINANCIAL STATEMENT REQUIRED.  Each member of the oversight committee shall file with the chief compliance officer a verified financial statement complying with Sections 572.022 through 572.0252, Government Code, as required of a state officer by Section 572.021, Government Code.</w:t>
      </w:r>
    </w:p>
    <w:p w:rsidR="003F3435" w:rsidRDefault="0032493E">
      <w:pPr>
        <w:spacing w:line="480" w:lineRule="auto"/>
        <w:jc w:val="center"/>
      </w:pPr>
      <w:r>
        <w:rPr>
          <w:u w:val="single"/>
        </w:rPr>
        <w:t xml:space="preserve">SUBCHAPTER D.  RESEARCH REVIEW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1002.0151.</w:t>
      </w:r>
      <w:r>
        <w:rPr>
          <w:u w:val="single"/>
        </w:rPr>
        <w:t xml:space="preserve"> </w:t>
      </w:r>
      <w:r>
        <w:rPr>
          <w:u w:val="single"/>
        </w:rPr>
        <w:t xml:space="preserve"> </w:t>
      </w:r>
      <w:r>
        <w:rPr>
          <w:u w:val="single"/>
        </w:rPr>
        <w:t xml:space="preserve">ESTABLISHMENT AND COMPOSITION OF RESEARCH REVIEW COMMITTEE.  The oversight committee shall establish the research review committee.  The chief executive officer, with approval by a simple majority of the members of the oversight committee, shall appoint as members of the research review committee experts in the field of mental health and substance use disorder research.</w:t>
      </w:r>
    </w:p>
    <w:p w:rsidR="003F3435" w:rsidRDefault="0032493E">
      <w:pPr>
        <w:spacing w:line="480" w:lineRule="auto"/>
        <w:jc w:val="center"/>
      </w:pPr>
      <w:r>
        <w:rPr>
          <w:u w:val="single"/>
        </w:rPr>
        <w:t xml:space="preserve">SUBCHAPTER E.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1002.0201.</w:t>
      </w:r>
      <w:r>
        <w:rPr>
          <w:u w:val="single"/>
        </w:rPr>
        <w:t xml:space="preserve"> </w:t>
      </w:r>
      <w:r>
        <w:rPr>
          <w:u w:val="single"/>
        </w:rPr>
        <w:t xml:space="preserve"> </w:t>
      </w:r>
      <w:r>
        <w:rPr>
          <w:u w:val="single"/>
        </w:rPr>
        <w:t xml:space="preserve">TEXAS MENTAL HEALTH RESEARCH FUND.  (a)  The Texas mental health research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mental health research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fund by the legislature, except that the appropriated money may not include the proceeds from the issuance of bonds authorized by Section 68,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including grants from the federal government, received for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to pay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grants for mental health or substance use disorder research and for research facilities in this state to conduct mental health or substance use disorder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subject to approval by the institute, of research facilities by or on behalf of a state agency or grant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of the institute;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 service on bonds issued as authorized by Section 68,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1002.0202.</w:t>
      </w:r>
      <w:r>
        <w:rPr>
          <w:u w:val="single"/>
        </w:rPr>
        <w:t xml:space="preserve"> </w:t>
      </w:r>
      <w:r>
        <w:rPr>
          <w:u w:val="single"/>
        </w:rPr>
        <w:t xml:space="preserve"> </w:t>
      </w:r>
      <w:r>
        <w:rPr>
          <w:u w:val="single"/>
        </w:rPr>
        <w:t xml:space="preserve">ISSUANCE OF GENERAL OBLIGATION BONDS.  (a)  The institute may request the Texas Public Finance Authority to issue and sell general obligation bonds of the state as authorized by Section 68,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not issue and sell general obligation bonds authorized by this section before January 1, 2020, and may not issue and sell more than $100 million in general obligation bonds authorized by this section in a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determine, and include in its request for issuing bonds, the amount, exclusive of costs of issuance, of the bonds to be issued and the preferred time for issuing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Public Finance Authority shall issue the bonds in accordance with and subject to Chapter 1232, Government Code, and Texas Public Finance Authority rules.  The bonds may be issued in installments.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of the bonds issued under this section shall be deposited in separate funds or accounts, in the state treasury, as prescribed by the proceedings authorizing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proceeds of the bonds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grants authorized by Section 68,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facilities approved by the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of operating the institute;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of issuing the bonds and related bond administration costs of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1002.0203.</w:t>
      </w:r>
      <w:r>
        <w:rPr>
          <w:u w:val="single"/>
        </w:rPr>
        <w:t xml:space="preserve"> </w:t>
      </w:r>
      <w:r>
        <w:rPr>
          <w:u w:val="single"/>
        </w:rPr>
        <w:t xml:space="preserve"> </w:t>
      </w:r>
      <w:r>
        <w:rPr>
          <w:u w:val="single"/>
        </w:rPr>
        <w:t xml:space="preserve">AUTHORIZED USE OF FUNDS.  (a)  A grant recipient awarded money from the Texas mental health research fund established under Section 1002.0201 may use the money for research consistent with the purposes of this chapter and in accordance with a contract between the grant recipient and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money awarded under this chapter may be used for authorized expenses, including honoraria, salaries and benefits, travel, conference fees and expenses, consumable supplies, other operating expenses, contracted research and development, capital equipment, and construction or renovation of state or private facilities.</w:t>
      </w:r>
    </w:p>
    <w:p w:rsidR="003F3435" w:rsidRDefault="0032493E">
      <w:pPr>
        <w:spacing w:line="480" w:lineRule="auto"/>
        <w:jc w:val="center"/>
      </w:pPr>
      <w:r>
        <w:rPr>
          <w:u w:val="single"/>
        </w:rPr>
        <w:t xml:space="preserve">SUBCHAPTER F.  PROCEDURE FOR MAKING AWARDS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1002.0251.</w:t>
      </w:r>
      <w:r>
        <w:rPr>
          <w:u w:val="single"/>
        </w:rPr>
        <w:t xml:space="preserve"> </w:t>
      </w:r>
      <w:r>
        <w:rPr>
          <w:u w:val="single"/>
        </w:rPr>
        <w:t xml:space="preserve"> </w:t>
      </w:r>
      <w:r>
        <w:rPr>
          <w:u w:val="single"/>
        </w:rPr>
        <w:t xml:space="preserve">INSTITUTIONS ELIGIBLE TO RECEIVE AWARDS.  The following health-related institutions of higher education are eligible to receive awards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Dell Medical School at The University of Texas at Austin;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1002.0252.</w:t>
      </w:r>
      <w:r>
        <w:rPr>
          <w:u w:val="single"/>
        </w:rPr>
        <w:t xml:space="preserve"> </w:t>
      </w:r>
      <w:r>
        <w:rPr>
          <w:u w:val="single"/>
        </w:rPr>
        <w:t xml:space="preserve"> </w:t>
      </w:r>
      <w:r>
        <w:rPr>
          <w:u w:val="single"/>
        </w:rPr>
        <w:t xml:space="preserve">PEER REVIEW PROCESS.  The research review committee shall develop and oversee a peer review process for the selection of mental health and substance use disorder research projects.  The peer review process must evaluate research projects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what extent the research project aligns with the research component of the statewide behavioral health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what extent the research project aligns with state priorities and needs, including priorities and needs outlined in the statewide behavioral health strategic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anticipated impact and reach of the research project on residents of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health-related institutions of higher education participating in the research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1002.0253.</w:t>
      </w:r>
      <w:r>
        <w:rPr>
          <w:u w:val="single"/>
        </w:rPr>
        <w:t xml:space="preserve"> </w:t>
      </w:r>
      <w:r>
        <w:rPr>
          <w:u w:val="single"/>
        </w:rPr>
        <w:t xml:space="preserve"> </w:t>
      </w:r>
      <w:r>
        <w:rPr>
          <w:u w:val="single"/>
        </w:rPr>
        <w:t xml:space="preserve">RULES FOR GRANT AWARD PROCEDURE.  (a)  The oversight committee shall issue rules regarding the procedure for awarding grants to an applicant under this chapter.  The rules must require the research review committee to score grant applications and make recommendations to the oversight committee regarding the award of research grants, including the creation of a prioritized list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ranks the grant applications in the order the research review committee determines applications should be funded;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explaining how each grant application on the list meets the research review committee's standards for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scoring and making recommendations to the oversight committee under Subsection (a), the research review committee shall, to the extent possible: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first priority to grant applications that focus on one or more of the following focus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first episode of psychosis;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bipolar disorder and schizophrenia;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 systems research;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second priority to grant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a collaborative approach to mental health and substance use disorder research;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interdisciplinary or interinstitutional collaboration;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enhance research superiority at health-related institutions of higher education in this state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creating new research superiority;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attracting existing research superiority at health-related institutions of higher education outside this state and other research entities;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enhancing existing research superiority in this state by attracting researchers and resources from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1002.0254.</w:t>
      </w:r>
      <w:r>
        <w:rPr>
          <w:u w:val="single"/>
        </w:rPr>
        <w:t xml:space="preserve"> </w:t>
      </w:r>
      <w:r>
        <w:rPr>
          <w:u w:val="single"/>
        </w:rPr>
        <w:t xml:space="preserve"> </w:t>
      </w:r>
      <w:r>
        <w:rPr>
          <w:u w:val="single"/>
        </w:rPr>
        <w:t xml:space="preserve">FUNDING RECOMMENDATIONS.  Two-thirds of the members of the oversight committee present and voting must vote to approve each funding recommendation of the research review committee.  If the oversight committee does not approve a funding recommendation of the research review committee, a statement explaining the reasons a funding recommendation was not followed must be included in the minutes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1002.0255.</w:t>
      </w:r>
      <w:r>
        <w:rPr>
          <w:u w:val="single"/>
        </w:rPr>
        <w:t xml:space="preserve"> </w:t>
      </w:r>
      <w:r>
        <w:rPr>
          <w:u w:val="single"/>
        </w:rPr>
        <w:t xml:space="preserve"> </w:t>
      </w:r>
      <w:r>
        <w:rPr>
          <w:u w:val="single"/>
        </w:rPr>
        <w:t xml:space="preserve">MAXIMUM AMOUNT OF ANNUAL AWARDS.  The oversight committee may not award more than $100 million in grants under this chapter in a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1002.0256.</w:t>
      </w:r>
      <w:r>
        <w:rPr>
          <w:u w:val="single"/>
        </w:rPr>
        <w:t xml:space="preserve"> </w:t>
      </w:r>
      <w:r>
        <w:rPr>
          <w:u w:val="single"/>
        </w:rPr>
        <w:t xml:space="preserve"> </w:t>
      </w:r>
      <w:r>
        <w:rPr>
          <w:u w:val="single"/>
        </w:rPr>
        <w:t xml:space="preserve">PERIOD FOR AWARDS.  The oversight committee may not award money under this chapter after August 31, 2032.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1002.0257.</w:t>
      </w:r>
      <w:r>
        <w:rPr>
          <w:u w:val="single"/>
        </w:rPr>
        <w:t xml:space="preserve"> </w:t>
      </w:r>
      <w:r>
        <w:rPr>
          <w:u w:val="single"/>
        </w:rPr>
        <w:t xml:space="preserve"> </w:t>
      </w:r>
      <w:r>
        <w:rPr>
          <w:u w:val="single"/>
        </w:rPr>
        <w:t xml:space="preserve">GRANT EVALUATION.  (a)  The oversight committee shall require as a condition of a grant that the grant recipient submit to regular inspection reviews of the grant project by institute staff, including progress oversight reviews, to ensure compliance with the terms of the award and to ensure the scientific merit of the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shall determine the grant review process under this section.  The chief executive officer may suspend or terminate in accordance with Subsection (f) grants that do not meet contractual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shall report at least annually to the oversight committee on the progress and continued merit of each research program funded by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 establish and implement reporting requirements to ensure that each grant recipient complies with the terms and conditions in the grant contract, including verification of the amounts of matching funds dedicated to the research that is the subject of the grant award to the grant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shall implement a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dates on which grant recipient reports are due and are received by the institute;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status of any required report that is not timely submitted to the institute by a grant recipient.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compliance officer shall monitor compliance with this section and at least annually shall inquire into and monitor the status of any required report that is not timely submitted to the institute by a grant recipient.  The chief compliance officer shall notify the general counsel for the institute and the oversight committee of a grant recipient that has not maintained compliance with the reporting requirements or matching funds provisions of the grant contract to allow the institute to begin suspension or termination of the grant contract under Subsection (b).  This subsection does not limit other remedies available under the grant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51.955(c),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Subsection (b)(1) does not apply to a research contract between an institution of higher education and the Cancer Prevention and Research Institute of Texas </w:t>
      </w:r>
      <w:r>
        <w:rPr>
          <w:u w:val="single"/>
        </w:rPr>
        <w:t xml:space="preserve">or Texas Mental Health Research 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31, 2020, the appropriate appointing authority shall appoint the members to the Texas Mental Health Research Institute Oversight Committee as required by Section 1002.0101, Health and Safety Code, as added by this Act.  The oversight committee may not take action until a majority of the appointed members have taken office.</w:t>
      </w:r>
    </w:p>
    <w:p w:rsidR="003F3435" w:rsidRDefault="0032493E">
      <w:pPr>
        <w:spacing w:line="480" w:lineRule="auto"/>
        <w:ind w:firstLine="720"/>
        <w:jc w:val="both"/>
      </w:pPr>
      <w:r>
        <w:t xml:space="preserve">(b)</w:t>
      </w:r>
      <w:r xml:space="preserve">
        <w:t> </w:t>
      </w:r>
      <w:r xml:space="preserve">
        <w:t> </w:t>
      </w:r>
      <w:r>
        <w:t xml:space="preserve">Notwithstanding Section 1002.0101, Health and Safety Code, as added by this Act, in making the initial appointments under that section, the governor, lieutenant governor, and speaker of the house of representatives shall designate one member of the Texas Mental Health Research Institute Oversight Committee appointed by that person to serve a term expiring January 31, 2022, one member appointed by that person to serve a term expiring January 31, 2024, and one member appointed by that person to serve a term expiring January 31,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January 1, 2020, but only if the constitutional amendment proposed by the 86th Legislature, Regular Session, 2019, providing for the establishment of the Texas Mental Health Research Institute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