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86R16775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1306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1306:</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flood coverage under insurance policies issued by surplus lines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(a)(1) and (b) do not apply to flood coverage under an insurance policy issued by an eligible surplus lines insurer that has a financial strength rating of A- or better from the A. M. Best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981.004(e),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