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1306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flood coverage under insurance policies issued by surplus lines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(a)(1) and (b) do not apply to flood coverage under an insurance policy issued by an eligible surplus lines insurer that has a financial strength rating of A- or better from the A. M. Best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981.004(e),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