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86R21285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Huberty, Deshotel, Phelan</w:t>
      </w:r>
      <w:r xml:space="preserve">
        <w:tab wTab="150" tlc="none" cTlc="0"/>
      </w:r>
      <w:r>
        <w:t xml:space="preserve">H.B.</w:t>
      </w:r>
      <w:r xml:space="preserve">
        <w:t> </w:t>
      </w:r>
      <w:r>
        <w:t xml:space="preserve">No.</w:t>
      </w:r>
      <w:r xml:space="preserve">
        <w:t> </w:t>
      </w:r>
      <w:r>
        <w:t xml:space="preserve">1307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1307:</w:t>
      </w: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C.S.H.B.</w:t>
      </w:r>
      <w:r xml:space="preserve">
        <w:t> </w:t>
      </w:r>
      <w:r>
        <w:t xml:space="preserve">No.</w:t>
      </w:r>
      <w:r xml:space="preserve">
        <w:t> </w:t>
      </w:r>
      <w:r>
        <w:t xml:space="preserve">1307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disaster case management system by the Texas Division of Emergency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CASE MANAGEMENT SYSTEM.  (a) </w:t>
      </w:r>
      <w:r>
        <w:rPr>
          <w:u w:val="single"/>
        </w:rPr>
        <w:t xml:space="preserve"> </w:t>
      </w:r>
      <w:r>
        <w:rPr>
          <w:u w:val="single"/>
        </w:rPr>
        <w:t xml:space="preserve">The division shall, subject to the availability of funds, contract with a vendor to develop and maintain an electronic disaster case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developed under Subsection (a) may be used for case management during and after a disaster by persons selected by the division,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affected by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affected by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General Land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Motor Vehicles;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Texas Department of Insurance;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Department of Agriculture;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appropriate federal agencies;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other appropriate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system developed under Subsection (a) may include the capability for a person affected by a disaster to apply for assistance from multiple sources. The system must allow the person to control which other users of the system have access to information submitted by the person to the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collected or maintained by the system developed under Subsection (a) that could identify a person affected by a disaster is confidential and not subject to disclosure under Chapter 552. The information may be disclosed to a governmental body described by Subsection (b) for the purpose of disaster relief or recovery.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