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bail of, and the reimbursement to a county for certain costs of confining, a person charged with an administrative violation of parole or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508.254, Government Code, is amended by amending Subsections (c), (d), (e), and (f) and adding Subsection (d-1)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(d) </w:t>
      </w:r>
      <w:r>
        <w:rPr>
          <w:u w:val="single"/>
        </w:rPr>
        <w:t xml:space="preserve">and (d-1)</w:t>
      </w:r>
      <w:r>
        <w:t xml:space="preserve">, pending a hearing on a charge of parole violation, ineligible release, or violation of a condition of mandatory supervision, a person returned to custody shall remain confined.</w:t>
      </w:r>
    </w:p>
    <w:p w:rsidR="003F3435" w:rsidRDefault="0032493E">
      <w:pPr>
        <w:spacing w:line="480" w:lineRule="auto"/>
        <w:ind w:firstLine="720"/>
        <w:jc w:val="both"/>
      </w:pPr>
      <w:r>
        <w:t xml:space="preserve">(d)</w:t>
      </w:r>
      <w:r xml:space="preserve">
        <w:t> </w:t>
      </w:r>
      <w:r xml:space="preserve">
        <w:t> </w:t>
      </w:r>
      <w:r>
        <w:t xml:space="preserve">A magistrate of the county in which the person is held in custody may release the person on bond pending the hearing if:</w:t>
      </w:r>
    </w:p>
    <w:p w:rsidR="003F3435" w:rsidRDefault="0032493E">
      <w:pPr>
        <w:spacing w:line="480" w:lineRule="auto"/>
        <w:ind w:firstLine="1440"/>
        <w:jc w:val="both"/>
      </w:pPr>
      <w:r>
        <w:t xml:space="preserve">(1)</w:t>
      </w:r>
      <w:r xml:space="preserve">
        <w:t> </w:t>
      </w:r>
      <w:r xml:space="preserve">
        <w:t> </w:t>
      </w:r>
      <w:r>
        <w:t xml:space="preserve">the person is arrested or held in custody only on a charge that the person committed an administrative violation of release;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division, in accordance with Subsection (e), included notice on</w:t>
      </w:r>
      <w:r>
        <w:t xml:space="preserve">] the warrant for the person's arrest </w:t>
      </w:r>
      <w:r>
        <w:rPr>
          <w:u w:val="single"/>
        </w:rPr>
        <w:t xml:space="preserve">did not include a notice</w:t>
      </w:r>
      <w:r>
        <w:t xml:space="preserve"> that the person is </w:t>
      </w:r>
      <w:r>
        <w:rPr>
          <w:u w:val="single"/>
        </w:rPr>
        <w:t xml:space="preserve">ineligible</w:t>
      </w:r>
      <w:r>
        <w:t xml:space="preserve"> [</w:t>
      </w:r>
      <w:r>
        <w:rPr>
          <w:strike/>
        </w:rPr>
        <w:t xml:space="preserve">eligible</w:t>
      </w:r>
      <w:r>
        <w:t xml:space="preserve">] for release on bond </w:t>
      </w:r>
      <w:r>
        <w:rPr>
          <w:u w:val="single"/>
        </w:rPr>
        <w:t xml:space="preserve">as provided by Subsection (e)</w:t>
      </w:r>
      <w:r>
        <w:t xml:space="preserve">; and</w:t>
      </w:r>
    </w:p>
    <w:p w:rsidR="003F3435" w:rsidRDefault="0032493E">
      <w:pPr>
        <w:spacing w:line="480" w:lineRule="auto"/>
        <w:ind w:firstLine="1440"/>
        <w:jc w:val="both"/>
      </w:pPr>
      <w:r>
        <w:t xml:space="preserve">(3)</w:t>
      </w:r>
      <w:r xml:space="preserve">
        <w:t> </w:t>
      </w:r>
      <w:r xml:space="preserve">
        <w:t> </w:t>
      </w:r>
      <w:r>
        <w:t xml:space="preserve">the magistrate determines that the person is not a threat to public safety.</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magistrate of the county in which the person is held in custody shall release the person on personal bond pending the hearing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confined for not less than 30 days only on a charge that the person committed an administrative violation of release;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warrant for the person's arrest did not include a notice that the person is ineligible for release on bond as provided by Subsection (e);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determines that the person is not a threat to public safety.</w:t>
      </w:r>
    </w:p>
    <w:p w:rsidR="003F3435" w:rsidRDefault="0032493E">
      <w:pPr>
        <w:spacing w:line="480" w:lineRule="auto"/>
        <w:ind w:firstLine="720"/>
        <w:jc w:val="both"/>
      </w:pPr>
      <w:r>
        <w:t xml:space="preserve">(e)</w:t>
      </w:r>
      <w:r xml:space="preserve">
        <w:t> </w:t>
      </w:r>
      <w:r xml:space="preserve">
        <w:t> </w:t>
      </w:r>
      <w:r>
        <w:t xml:space="preserve">The division shall include a notice on the warrant for the person's arrest indicating that the person is </w:t>
      </w:r>
      <w:r>
        <w:rPr>
          <w:u w:val="single"/>
        </w:rPr>
        <w:t xml:space="preserve">ineligible</w:t>
      </w:r>
      <w:r>
        <w:t xml:space="preserve"> [</w:t>
      </w:r>
      <w:r>
        <w:rPr>
          <w:strike/>
        </w:rPr>
        <w:t xml:space="preserve">eligible</w:t>
      </w:r>
      <w:r>
        <w:t xml:space="preserve">] for release on bond under </w:t>
      </w:r>
      <w:r>
        <w:rPr>
          <w:u w:val="single"/>
        </w:rPr>
        <w:t xml:space="preserve">this section</w:t>
      </w:r>
      <w:r>
        <w:t xml:space="preserve"> [</w:t>
      </w:r>
      <w:r>
        <w:rPr>
          <w:strike/>
        </w:rPr>
        <w:t xml:space="preserve">Subsection (d)</w:t>
      </w:r>
      <w:r>
        <w:t xml:space="preserve">] if the division determines that the person:</w:t>
      </w:r>
    </w:p>
    <w:p w:rsidR="003F3435" w:rsidRDefault="0032493E">
      <w:pPr>
        <w:spacing w:line="480" w:lineRule="auto"/>
        <w:ind w:firstLine="1440"/>
        <w:jc w:val="both"/>
      </w:pPr>
      <w:r>
        <w:t xml:space="preserve">(1)</w:t>
      </w:r>
      <w:r xml:space="preserve">
        <w:t> </w:t>
      </w:r>
      <w:r xml:space="preserve">
        <w:t> </w:t>
      </w:r>
      <w:r>
        <w:t xml:space="preserve">has [</w:t>
      </w:r>
      <w:r>
        <w:rPr>
          <w:strike/>
        </w:rPr>
        <w:t xml:space="preserve">not</w:t>
      </w:r>
      <w:r>
        <w:t xml:space="preserve">] been previously convicted of:</w:t>
      </w:r>
    </w:p>
    <w:p w:rsidR="003F3435" w:rsidRDefault="0032493E">
      <w:pPr>
        <w:spacing w:line="480" w:lineRule="auto"/>
        <w:ind w:firstLine="2160"/>
        <w:jc w:val="both"/>
      </w:pPr>
      <w:r>
        <w:t xml:space="preserve">(A)</w:t>
      </w:r>
      <w:r xml:space="preserve">
        <w:t> </w:t>
      </w:r>
      <w:r xml:space="preserve">
        <w:t> </w:t>
      </w:r>
      <w:r>
        <w:t xml:space="preserve">an offense under Chapter  29, Penal Code;</w:t>
      </w:r>
    </w:p>
    <w:p w:rsidR="003F3435" w:rsidRDefault="0032493E">
      <w:pPr>
        <w:spacing w:line="480" w:lineRule="auto"/>
        <w:ind w:firstLine="2160"/>
        <w:jc w:val="both"/>
      </w:pPr>
      <w:r>
        <w:t xml:space="preserve">(B)</w:t>
      </w:r>
      <w:r xml:space="preserve">
        <w:t> </w:t>
      </w:r>
      <w:r xml:space="preserve">
        <w:t> </w:t>
      </w:r>
      <w:r>
        <w:t xml:space="preserve">an offense under Title 5, Penal Code, punishable as a felony; or</w:t>
      </w:r>
    </w:p>
    <w:p w:rsidR="003F3435" w:rsidRDefault="0032493E">
      <w:pPr>
        <w:spacing w:line="480" w:lineRule="auto"/>
        <w:ind w:firstLine="2160"/>
        <w:jc w:val="both"/>
      </w:pPr>
      <w:r>
        <w:t xml:space="preserve">(C)</w:t>
      </w:r>
      <w:r xml:space="preserve">
        <w:t> </w:t>
      </w:r>
      <w:r xml:space="preserve">
        <w:t> </w:t>
      </w:r>
      <w:r>
        <w:t xml:space="preserve">an offense involving family violence, as defined by Section 71.004, Family Code;</w:t>
      </w:r>
    </w:p>
    <w:p w:rsidR="003F3435" w:rsidRDefault="0032493E">
      <w:pPr>
        <w:spacing w:line="480" w:lineRule="auto"/>
        <w:ind w:firstLine="1440"/>
        <w:jc w:val="both"/>
      </w:pPr>
      <w:r>
        <w:t xml:space="preserve">(2)</w:t>
      </w:r>
      <w:r xml:space="preserve">
        <w:t> </w:t>
      </w:r>
      <w:r xml:space="preserve">
        <w:t> </w:t>
      </w:r>
      <w:r>
        <w:t xml:space="preserve">is [</w:t>
      </w:r>
      <w:r>
        <w:rPr>
          <w:strike/>
        </w:rPr>
        <w:t xml:space="preserve">not</w:t>
      </w:r>
      <w:r>
        <w:t xml:space="preserve">] on intensive supervision or super-intensive supervision;</w:t>
      </w:r>
    </w:p>
    <w:p w:rsidR="003F3435" w:rsidRDefault="0032493E">
      <w:pPr>
        <w:spacing w:line="480" w:lineRule="auto"/>
        <w:ind w:firstLine="1440"/>
        <w:jc w:val="both"/>
      </w:pPr>
      <w:r>
        <w:t xml:space="preserve">(3)</w:t>
      </w:r>
      <w:r xml:space="preserve">
        <w:t> </w:t>
      </w:r>
      <w:r xml:space="preserve">
        <w:t> </w:t>
      </w:r>
      <w:r>
        <w:t xml:space="preserve">is [</w:t>
      </w:r>
      <w:r>
        <w:rPr>
          <w:strike/>
        </w:rPr>
        <w:t xml:space="preserve">not</w:t>
      </w:r>
      <w:r>
        <w:t xml:space="preserve">] an absconder;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is [</w:t>
      </w:r>
      <w:r>
        <w:rPr>
          <w:strike/>
        </w:rPr>
        <w:t xml:space="preserve">not</w:t>
      </w:r>
      <w:r>
        <w:t xml:space="preserve">] a threat to public safety.</w:t>
      </w:r>
    </w:p>
    <w:p w:rsidR="003F3435" w:rsidRDefault="0032493E">
      <w:pPr>
        <w:spacing w:line="480" w:lineRule="auto"/>
        <w:ind w:firstLine="720"/>
        <w:jc w:val="both"/>
      </w:pPr>
      <w:r>
        <w:t xml:space="preserve">(f)</w:t>
      </w:r>
      <w:r xml:space="preserve">
        <w:t> </w:t>
      </w:r>
      <w:r xml:space="preserve">
        <w:t> </w:t>
      </w:r>
      <w:r>
        <w:t xml:space="preserve">The provisions of Chapters 17 and 22, Code of Criminal Procedure, apply to a person released under </w:t>
      </w:r>
      <w:r>
        <w:rPr>
          <w:u w:val="single"/>
        </w:rPr>
        <w:t xml:space="preserve">this section</w:t>
      </w:r>
      <w:r>
        <w:t xml:space="preserve"> [</w:t>
      </w:r>
      <w:r>
        <w:rPr>
          <w:strike/>
        </w:rPr>
        <w:t xml:space="preserve">Subsection (d)</w:t>
      </w:r>
      <w:r>
        <w:t xml:space="preserve">] in the same manner as those provisions apply to a person released pending an appearance before a court or magistrate, except that the release under </w:t>
      </w:r>
      <w:r>
        <w:rPr>
          <w:u w:val="single"/>
        </w:rPr>
        <w:t xml:space="preserve">this section</w:t>
      </w:r>
      <w:r>
        <w:t xml:space="preserve"> [</w:t>
      </w:r>
      <w:r>
        <w:rPr>
          <w:strike/>
        </w:rPr>
        <w:t xml:space="preserve">that subsection</w:t>
      </w:r>
      <w:r>
        <w:t xml:space="preserve">] is conditioned on the person's appearance at a hearing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508, Government Code, is amended by adding Section 508.285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508.285.</w:t>
      </w:r>
      <w:r>
        <w:rPr>
          <w:u w:val="single"/>
        </w:rPr>
        <w:t xml:space="preserve"> </w:t>
      </w:r>
      <w:r>
        <w:rPr>
          <w:u w:val="single"/>
        </w:rPr>
        <w:t xml:space="preserve"> </w:t>
      </w:r>
      <w:r>
        <w:rPr>
          <w:u w:val="single"/>
        </w:rPr>
        <w:t xml:space="preserve">REIMBURSEMENT TO COUNTIES.  (a)  A county is entitled to reimbursement from the department for the costs of confining in the county jail a releasee or person described by Section 508.281(a) who is confined only on a charge that the releasee or person has committed an administrative violation of release and that are incurred beginning on the 11th day of the releasee's or person's confinement in the county jail.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15th day of each quarter of a county's fiscal year, the county judge shall certify to the comptroller of public accounts the costs of confinement incurred during the preceding fiscal quarter for which the county is entitled to reimbursement under Subsection (a).  The comptroller shall issue a warrant in that amount to the commissioners court of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