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86R1722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mental health services to persons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572.001(a),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16 years of age or older may request admission to an inpatient mental health facility or for outpatient mental health services by filing a request with the administrator of the facility where admission or outpatient treatment is requested.  </w:t>
      </w:r>
      <w:r>
        <w:rPr>
          <w:u w:val="single"/>
        </w:rPr>
        <w:t xml:space="preserve">If the person is younger than 18 years of age, the</w:t>
      </w:r>
      <w:r xml:space="preserve">
        <w:t> </w:t>
      </w:r>
      <w:r>
        <w:t xml:space="preserve">[</w:t>
      </w:r>
      <w:r>
        <w:rPr>
          <w:strike/>
        </w:rPr>
        <w:t xml:space="preserve">The</w:t>
      </w:r>
      <w:r>
        <w:t xml:space="preserve">] parent, managing conservator, [</w:t>
      </w:r>
      <w:r>
        <w:rPr>
          <w:strike/>
        </w:rPr>
        <w:t xml:space="preserve">or</w:t>
      </w:r>
      <w:r>
        <w:t xml:space="preserve">] guardian</w:t>
      </w:r>
      <w:r>
        <w:rPr>
          <w:u w:val="single"/>
        </w:rPr>
        <w:t xml:space="preserve">, or adult who has had actual care, custody, and control of the person for the six months preceding the request</w:t>
      </w:r>
      <w:r>
        <w:t xml:space="preserve"> [</w:t>
      </w:r>
      <w:r>
        <w:rPr>
          <w:strike/>
        </w:rPr>
        <w:t xml:space="preserve">of a person younger than 18 years of age</w:t>
      </w:r>
      <w:r>
        <w:t xml:space="preserve">] may request the admission of the person to an inpatient mental health facility or for outpatient mental health services by filing a request with the administrator of the facility where admission or outpatient treatment is requested.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573.001(a),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peace officer, without a warrant, may take a person</w:t>
      </w:r>
      <w:r>
        <w:rPr>
          <w:u w:val="single"/>
        </w:rPr>
        <w:t xml:space="preserve">, regardless of age,</w:t>
      </w:r>
      <w:r>
        <w:t xml:space="preserve"> into custody if the officer: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reason to believe and does believe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person is a person with mental illness;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because of that mental illness there is a substantial risk of serious harm to the person or to others unless the person is immediately restrained;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believes that there is not sufficient time to obtain a warrant before taking the person into custody.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