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86R21661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1319:</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1319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procedure in a justice or municipal court for rendering certain judgments and sentences.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adding Subsection (e)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This subsection applies only to a criminal action in which the defendant enters a plea of guilty or nolo contendere in a misdemeanor case punishable by fine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criminal action described by Subdivision (1) is considered adjudicated for purposes of appeal, and the judgment and sentence in the action is considered rendered,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 enters a plea of guilty or nolo contendere and pays the amount of the fine and costs owed to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court accepts the defendant's payment as payment in full for the amount owed;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court creates a record of the acceptance of the defendant's plea and payment, regardless of the form of the record or whether the record contains the justice's or judge's signature.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Article 45.041(e), Code of Criminal Procedure, as added by this Act, applies to a criminal action commenced in a justice or municipal court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addition by this Act of Article 45.041(e), Code of Criminal Procedure, is intended to clarify rather than change the existing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