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86R7781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1322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facilitation of voting by persons confined in certain jails.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ENFRANCHISEMENT OF PERSONS CONFINED IN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APPLICABILITY.  This chapter applies to a person confined in a city or county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NOTICE OF VOTING RIGHTS.  (a)  The secretary of state shall prescribe a written notice to be provided to each person confined in a city or county jail that states: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persons eligible to vote may vote an absentee ballot from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upcoming election dates;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 registration deadlines and absentee ballot request deadlines applicable to the upcoming elections.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 be printed in English, Spanish, Vietnamese, and Mandarin. </w:t>
      </w:r>
      <w:r>
        <w:rPr>
          <w:u w:val="single"/>
        </w:rPr>
        <w:t xml:space="preserve"> </w:t>
      </w:r>
      <w:r>
        <w:rPr>
          <w:u w:val="single"/>
        </w:rPr>
        <w:t xml:space="preserve">On the request of a person who does not speak one of these languages, a translation of the notice into the person's primary language must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relating to the provision of the notice prescribed under this section to ensure that the notice is visible and accessible to persons confined in the jail.</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VOTING MATERIALS.  (a)  The officially prescribed application form for registration by mail shall be made available to persons confined in jail who are eligible to register to vote. </w:t>
      </w:r>
      <w:r>
        <w:rPr>
          <w:u w:val="single"/>
        </w:rPr>
        <w:t xml:space="preserve"> </w:t>
      </w:r>
      <w:r>
        <w:rPr>
          <w:u w:val="single"/>
        </w:rPr>
        <w:t xml:space="preserve">The officially prescribed application form for an early voting ballot shall be made available to persons confined in jail who are qualified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in charge of the jail shall facilitate the proper delivery of voter registration applications, applications for ballots to be voted by mail, and marked ballots to eligible persons and is responsible for the payment of any required postage.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adopt any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