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86R28632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 Anderson, Coleman, et al.</w:t>
      </w:r>
      <w:r xml:space="preserve">
        <w:tab wTab="150" tlc="none" cTlc="0"/>
      </w:r>
      <w:r>
        <w:t xml:space="preserve">H.B.</w:t>
      </w:r>
      <w:r xml:space="preserve">
        <w:t> </w:t>
      </w:r>
      <w:r>
        <w:t xml:space="preserve">No.</w:t>
      </w:r>
      <w:r xml:space="preserve">
        <w:t> </w:t>
      </w:r>
      <w:r>
        <w:t xml:space="preserve">1323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1323:</w:t>
      </w: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C.S.H.B.</w:t>
      </w:r>
      <w:r xml:space="preserve">
        <w:t> </w:t>
      </w:r>
      <w:r>
        <w:t xml:space="preserve">No.</w:t>
      </w:r>
      <w:r xml:space="preserve">
        <w:t> </w:t>
      </w:r>
      <w:r>
        <w:t xml:space="preserve">1323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bail proceedings and related duties of a magistrate in a criminal case.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1.07, Code of Criminal Procedure, is amended to read as follows:</w:t>
      </w:r>
    </w:p>
    <w:p w:rsidR="003F3435" w:rsidRDefault="0032493E">
      <w:pPr>
        <w:spacing w:line="480" w:lineRule="auto"/>
        <w:ind w:firstLine="720"/>
        <w:jc w:val="both"/>
      </w:pPr>
      <w:r>
        <w:t xml:space="preserve">Art.</w:t>
      </w:r>
      <w:r xml:space="preserve">
        <w:t> </w:t>
      </w:r>
      <w:r>
        <w:t xml:space="preserve">1.07.</w:t>
      </w:r>
      <w:r xml:space="preserve">
        <w:t> </w:t>
      </w:r>
      <w:r xml:space="preserve">
        <w:t> </w:t>
      </w:r>
      <w:r>
        <w:t xml:space="preserve">RIGHT TO BAIL.  </w:t>
      </w:r>
      <w:r>
        <w:rPr>
          <w:u w:val="single"/>
        </w:rPr>
        <w:t xml:space="preserve">(a)  Except as provided by Subsection (b) or Chapter 17, any person</w:t>
      </w:r>
      <w:r>
        <w:t xml:space="preserve"> [</w:t>
      </w:r>
      <w:r>
        <w:rPr>
          <w:strike/>
        </w:rPr>
        <w:t xml:space="preserve">All prisoners</w:t>
      </w:r>
      <w:r>
        <w:t xml:space="preserve">] shall be </w:t>
      </w:r>
      <w:r>
        <w:rPr>
          <w:u w:val="single"/>
        </w:rPr>
        <w:t xml:space="preserve">eligible for bail,</w:t>
      </w:r>
      <w:r>
        <w:t xml:space="preserve"> [</w:t>
      </w:r>
      <w:r>
        <w:rPr>
          <w:strike/>
        </w:rPr>
        <w:t xml:space="preserve">bailable</w:t>
      </w:r>
      <w:r>
        <w:t xml:space="preserve">] unless </w:t>
      </w:r>
      <w:r>
        <w:rPr>
          <w:u w:val="single"/>
        </w:rPr>
        <w:t xml:space="preserve">the person is accused of a</w:t>
      </w:r>
      <w:r>
        <w:t xml:space="preserve"> [</w:t>
      </w:r>
      <w:r>
        <w:rPr>
          <w:strike/>
        </w:rPr>
        <w:t xml:space="preserve">for</w:t>
      </w:r>
      <w:r>
        <w:t xml:space="preserve">] capital </w:t>
      </w:r>
      <w:r>
        <w:rPr>
          <w:u w:val="single"/>
        </w:rPr>
        <w:t xml:space="preserve">offense for which</w:t>
      </w:r>
      <w:r>
        <w:t xml:space="preserve"> [</w:t>
      </w:r>
      <w:r>
        <w:rPr>
          <w:strike/>
        </w:rPr>
        <w:t xml:space="preserve">offenses when</w:t>
      </w:r>
      <w:r>
        <w:t xml:space="preserve">] the proof is evident.  This provision shall not be [</w:t>
      </w:r>
      <w:r>
        <w:rPr>
          <w:strike/>
        </w:rPr>
        <w:t xml:space="preserve">so</w:t>
      </w:r>
      <w:r>
        <w:t xml:space="preserve">] construed [</w:t>
      </w:r>
      <w:r>
        <w:rPr>
          <w:strike/>
        </w:rPr>
        <w:t xml:space="preserve">as</w:t>
      </w:r>
      <w:r>
        <w:t xml:space="preserve">] to prevent bail after indictment found upon examination of the evidence, in such manner as may be prescribed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charged with an offense listed in Article 42A.054 may be denied bail pending trial if a judge or magistrate determines by clear and convincing evidence that requiring bail and conditions of release is insufficient to reasonably ensure: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appearance in court as required;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safety of the community or the victim of the alleged offense.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17, Code of Criminal Procedure, is amended by adding Articles 17.027, 17.028, 17.034, 17.035, 17.036, and 17.037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17.027.</w:t>
      </w:r>
      <w:r>
        <w:rPr>
          <w:u w:val="single"/>
        </w:rPr>
        <w:t xml:space="preserve"> </w:t>
      </w:r>
      <w:r>
        <w:rPr>
          <w:u w:val="single"/>
        </w:rPr>
        <w:t xml:space="preserve"> </w:t>
      </w:r>
      <w:r>
        <w:rPr>
          <w:u w:val="single"/>
        </w:rPr>
        <w:t xml:space="preserve">DENIAL OF BAIL.  A magistrate who denies a defendant's bail as authorized by Article 1.07(b) shall inform the defendant that the defendant is entitled to a bail review hearing under Article 17.034 and, as soon as practicable but not later than 24 hours after denying bail, issue a written order of denial that includes findings of fact and a statement of the magistrate's reasons for the denial.</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17.028.</w:t>
      </w:r>
      <w:r>
        <w:rPr>
          <w:u w:val="single"/>
        </w:rPr>
        <w:t xml:space="preserve"> </w:t>
      </w:r>
      <w:r>
        <w:rPr>
          <w:u w:val="single"/>
        </w:rPr>
        <w:t xml:space="preserve"> </w:t>
      </w:r>
      <w:r>
        <w:rPr>
          <w:u w:val="single"/>
        </w:rPr>
        <w:t xml:space="preserve">BAIL SCHEDULE.  A judge may not adopt a bail schedule or enter a standing order related to bail that is inconsistent with the laws of this state.</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17.034.</w:t>
      </w:r>
      <w:r>
        <w:rPr>
          <w:u w:val="single"/>
        </w:rPr>
        <w:t xml:space="preserve"> </w:t>
      </w:r>
      <w:r>
        <w:rPr>
          <w:u w:val="single"/>
        </w:rPr>
        <w:t xml:space="preserve"> </w:t>
      </w:r>
      <w:r>
        <w:rPr>
          <w:u w:val="single"/>
        </w:rPr>
        <w:t xml:space="preserve">BAIL REVIEW HEARING REQUIRED.  (a)  As soon as practicable after a defendant's bail is denied, but not later than the 10th day after the date the magistrate issues the written order denying bail as described by Article 17.027, the court in which the defendant's case is pending shall conduct a hearing regarding whether to detain the defendant pending the trial of the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defendant may voluntarily and intelligently waive in writing the defendant's right to a bail review hearing.  The court or the attorney representing the state may not direct or encourage the defendant to waive the defendant's right to a bail review hearing. A waiver under this subsection shall be filed with and become part of the record of the proceedings.  A waiver obtained in violation of this subsection is presumed invalid. A defendant may withdraw a waiver under this subsection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defendant is entitled to be represented by counsel at a bail review hearing, and an indigent defendant is entitled to have counsel appointed to represent the defendant for that purpose.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defendant may present any relevant information at the bail review hearing, including by testifying, presenting witnesses, and cross-examining witnesses presented by the attorney representing the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rules of evidence applicable to criminal trials do not apply to a bail review hearing. </w:t>
      </w:r>
      <w:r>
        <w:rPr>
          <w:u w:val="single"/>
        </w:rPr>
        <w:t xml:space="preserve"> </w:t>
      </w:r>
      <w:r>
        <w:rPr>
          <w:u w:val="single"/>
        </w:rPr>
        <w:t xml:space="preserve">The defendant or the attorney representing the state may request a proffer of a witness's testimony before the witness is presented.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defendant may not use a bail review hearing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seek discovery or conduct an examining trial;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harass a victim of or witness to the alleged offense.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At any time during the period occurring after the bail review hearing concludes and before the trial of the offense commences, and regardless of whether the defendant was released or confined as a result of that hearing, the court may reopen the bail review hearing based on new information that the court determines is material to the issue of whether monetary bail or conditions of release will reasonably ensure the defendant's appearance in court as required and the safety of the community and the victim of the alleged offense.</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17.035.</w:t>
      </w:r>
      <w:r>
        <w:rPr>
          <w:u w:val="single"/>
        </w:rPr>
        <w:t xml:space="preserve"> </w:t>
      </w:r>
      <w:r>
        <w:rPr>
          <w:u w:val="single"/>
        </w:rPr>
        <w:t xml:space="preserve"> </w:t>
      </w:r>
      <w:r>
        <w:rPr>
          <w:u w:val="single"/>
        </w:rPr>
        <w:t xml:space="preserve">BAIL REVIEW HEARING: FINDING AND ORDER.  (a)  In a bail review hearing, the court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nature and circumstances of the offense charged;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weight of the evidence against the defendant, including whether the evidence is likely to be admissible in the trial of the offense;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history and characteristics of the defendant,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defendant's character, physical and mental condition, family ties, employment, financial resources, length of residence in and other ties to the community, past conduct, criminal history including any prior offenses involving peace officers, history relating to drug or alcohol abuse, and history of attendance at court proceedings;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at the time of the offense, the defendant was on community supervision, parole, or mandatory supervision or was otherwise released pending trial, sentencing,  or appeal for any offense, including an offense under federal law or the law of another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nature and seriousness of the danger to the community or the victim of the alleged offense as a result of the defendant's release on bail, if applicable;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nature and seriousness of the risk of obstruction to the criminal justice process as a result of the defendant's release on bail, if applicable;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results of any pretrial risk assessment of the defendant;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relevant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bail review hearing, the judge shall authorize the defendant's release on bail unless the judge finds by clear and convincing evidence that requiring bail and conditions of release is insufficient to reasonably ensure the defendant's appearance in court as required or the safety of the community or the victim of the alleged offense.  If the judge makes the finding described by this subsection, the judge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 the defendant's bail;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a written order of denial that includes findings of fact and a statement of the judge's reasons for the denial.</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17.036.</w:t>
      </w:r>
      <w:r>
        <w:rPr>
          <w:u w:val="single"/>
        </w:rPr>
        <w:t xml:space="preserve"> </w:t>
      </w:r>
      <w:r>
        <w:rPr>
          <w:u w:val="single"/>
        </w:rPr>
        <w:t xml:space="preserve"> </w:t>
      </w:r>
      <w:r>
        <w:rPr>
          <w:u w:val="single"/>
        </w:rPr>
        <w:t xml:space="preserve">BAIL REVIEW HEARING: CONTINUANCE. </w:t>
      </w:r>
      <w:r>
        <w:rPr>
          <w:u w:val="single"/>
        </w:rPr>
        <w:t xml:space="preserve"> </w:t>
      </w:r>
      <w:r>
        <w:rPr>
          <w:u w:val="single"/>
        </w:rPr>
        <w:t xml:space="preserve">Except for good cause shown, the court may not authorize a continuance for more than five days, excluding weekends and legal holidays.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17.037.</w:t>
      </w:r>
      <w:r>
        <w:rPr>
          <w:u w:val="single"/>
        </w:rPr>
        <w:t xml:space="preserve"> </w:t>
      </w:r>
      <w:r>
        <w:rPr>
          <w:u w:val="single"/>
        </w:rPr>
        <w:t xml:space="preserve"> </w:t>
      </w:r>
      <w:r>
        <w:rPr>
          <w:u w:val="single"/>
        </w:rPr>
        <w:t xml:space="preserve">BAIL REVIEW HEARING: APPEAL.  A defendant is entitled to appeal a denial of bail.  The defendant shall be detained in jail pending the appeal.  The court of criminal appeals shall adopt rules accelerating the disposition by the appellate court and the court of criminal appeals of an appeal under this article.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17, Code of Criminal Procedure, is amended by adding Article 17.251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17.251.</w:t>
      </w:r>
      <w:r>
        <w:rPr>
          <w:u w:val="single"/>
        </w:rPr>
        <w:t xml:space="preserve"> </w:t>
      </w:r>
      <w:r>
        <w:rPr>
          <w:u w:val="single"/>
        </w:rPr>
        <w:t xml:space="preserve"> </w:t>
      </w:r>
      <w:r>
        <w:rPr>
          <w:u w:val="single"/>
        </w:rPr>
        <w:t xml:space="preserve">NOTIFICATION OF CONDITIONS OF RELEASE.  (a)  A magistrate authorizing a defendant's release on bail shall, if applicable, provide written notice to the defendant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conditions of the defendant's release;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penalties of violating a condition of release, including the defendant's arrest.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under Subsection (a) must be provided in a manner that is sufficiently clear and specific to serve as a guide for the defendant's conduct while released.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person who is arrested on or after September 1, 2020.  A person arrested before September 1, 2020,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Sections 1 and 2 of this Act take effect December 1, 2019, but only if the constitutional amendment proposed by the 86th Legislature, Regular Session, 2019, is approved by the voters to authorize the denial of bail to an accused person if necessary to ensure the person's appearance in court and the safety of the community and the victim of the alleged offense.  If that amendment is not approved by the voters, Sections 1 and 2 of this Act have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1323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