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86R8478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1329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information regarding certain enforcement actions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7.003, Water Code, is amended to read as follows:</w:t>
      </w:r>
    </w:p>
    <w:p w:rsidR="003F3435" w:rsidRDefault="0032493E">
      <w:pPr>
        <w:spacing w:line="480" w:lineRule="auto"/>
        <w:ind w:firstLine="720"/>
        <w:jc w:val="both"/>
      </w:pPr>
      <w:r>
        <w:t xml:space="preserve">Sec.</w:t>
      </w:r>
      <w:r xml:space="preserve">
        <w:t> </w:t>
      </w:r>
      <w:r>
        <w:t xml:space="preserve">7.003.</w:t>
      </w:r>
      <w:r xml:space="preserve">
        <w:t> </w:t>
      </w:r>
      <w:r xml:space="preserve">
        <w:t> </w:t>
      </w:r>
      <w:r>
        <w:t xml:space="preserve">ENFORCEMENT REPORT </w:t>
      </w:r>
      <w:r>
        <w:rPr>
          <w:u w:val="single"/>
        </w:rPr>
        <w:t xml:space="preserve">AND STATUS MEETINGS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7.003, Water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publish each report required under Subsection (a) on the commission's Internet website not later than the 15th day before the date of a meeting of the commission for which public notice is given.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subsection applies to an enforcement action that involves a violation of Chapter 361, Health and Safety Code, by or at a facility. </w:t>
      </w:r>
      <w:r>
        <w:rPr>
          <w:u w:val="single"/>
        </w:rPr>
        <w:t xml:space="preserve"> </w:t>
      </w:r>
      <w:r>
        <w:rPr>
          <w:u w:val="single"/>
        </w:rPr>
        <w:t xml:space="preserve">The commission shall file with the state senator and state representative in whose district the facility that is the subject of the enforcement action is located a copy of the report and of the minutes of the meeting reflecting commission action relating to the report. </w:t>
      </w:r>
      <w:r>
        <w:rPr>
          <w:u w:val="single"/>
        </w:rPr>
        <w:t xml:space="preserve"> </w:t>
      </w:r>
      <w:r>
        <w:rPr>
          <w:u w:val="single"/>
        </w:rPr>
        <w:t xml:space="preserve">Until the enforcement action is resolved, at least once a month the commission shall conduct in the county in which the facility that is the subject of the enforcement action is located a public informational meeting regarding the status of the enforcement action.  A representative of the facility that is the subject of the enforcement action must attend a meeting held under this subsection and must make a reasonable effort to respond to questions relevant to the enforcement action at the meeting.  The commission shall publish notice of the meeting once a week for two consecutive weeks before the meeting in one or more newspapers having general circulation in the county in which the meeting will be held.  The notice must state the time, location, and subject matter of the meeting.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