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improper contact with a victim and to protective orders for victims of certain offenses;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7A.01, Code of Criminal Procedure,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an application has not yet been filed in the case under Subsection (a), the attorney representing the state shall promptly file an application for a protective order with respect to each victim of an offense listed in Subdivision (1) or (2) of that subsection following the offender's conviction of or placement on deferred adjudication community supervision for the offense.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attorney representing the state may not file an application under Subsection (a-1) with respect to a victim who is at least 18 years of age if the victim requests that the attorney representing the state not file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7A.03,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offender's conviction of or placement on deferred adjudication community supervision for an offense listed in Article 7A.01(a)(1) or (2) constitutes reasonable grounds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7A.07,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shall issue a protective order effective for the duration of the lives of the offender and victim if the offender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or placed on deferred adjudication community supervision for an offense listed in Article 7A.01(a)(1) or (2);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under Chapter 62 to register for life as a sex offender.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25.07(g), Penal Code, is amended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except the offense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a state jail felony if it is shown at the trial of the offense that the defendant violated an order issued as a result of an application filed under Article 7A.01(a-1), Code of Criminal Procedure; or</w:t>
      </w:r>
    </w:p>
    <w:p w:rsidR="003F3435" w:rsidRDefault="0032493E">
      <w:pPr>
        <w:spacing w:line="480" w:lineRule="auto"/>
        <w:ind w:firstLine="1440"/>
        <w:jc w:val="both"/>
      </w:pPr>
      <w:r>
        <w:rPr>
          <w:u w:val="single"/>
        </w:rPr>
        <w:t xml:space="preserve">(2)</w:t>
      </w:r>
      <w:r xml:space="preserve">
        <w:t> </w:t>
      </w:r>
      <w:r xml:space="preserve">
        <w:t> </w:t>
      </w:r>
      <w:r>
        <w:t xml:space="preserve">a felony of the third degree if it is shown on the trial of the offense that the defendant: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has previously been convicted two or more times of an offense under this section or two or more times of an offense under Section 25.072, or has previously been convicted of an offense under this section and an offense under Section 25.072;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has violated the order or condition of bond by committing an assault or the offense of stalking.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38.111(a),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while confined in a correctional facility after being charged with or convicted of an offense listed in Article 62.001(5), Code of Criminal Procedure, contacts by letter, telephone, or any other means, either directly or through a third party, a victim of the offense or a member of the victim's family, if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victim was younger than 17 years of age at the time of the commission of the offense for which the person is confined;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director of the correctional facility has not, before the person makes contact with the victim:</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received written and dated consent to the contact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 if the victim was 17 years of age or older at the time </w:t>
      </w:r>
      <w:r>
        <w:rPr>
          <w:u w:val="single"/>
        </w:rPr>
        <w:t xml:space="preserve"> </w:t>
      </w:r>
      <w:r>
        <w:rPr>
          <w:u w:val="single"/>
        </w:rPr>
        <w:t xml:space="preserve">of the commission of the offense for which the person is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victim was younger than 17 years of age at the time of the commission of the offense for which the person is confined:</w:t>
      </w:r>
    </w:p>
    <w:p w:rsidR="003F3435" w:rsidRDefault="0032493E">
      <w:pPr>
        <w:spacing w:line="480" w:lineRule="auto"/>
        <w:ind w:firstLine="2880"/>
        <w:jc w:val="both"/>
      </w:pPr>
      <w:r>
        <w:t xml:space="preserve">(i)</w:t>
      </w:r>
      <w:r xml:space="preserve">
        <w:t> </w:t>
      </w:r>
      <w:r xml:space="preserve">
        <w:t> </w:t>
      </w:r>
      <w:r>
        <w:t xml:space="preserve">a parent of the victim;</w:t>
      </w:r>
    </w:p>
    <w:p w:rsidR="003F3435" w:rsidRDefault="0032493E">
      <w:pPr>
        <w:spacing w:line="480" w:lineRule="auto"/>
        <w:ind w:firstLine="2880"/>
        <w:jc w:val="both"/>
      </w:pPr>
      <w:r>
        <w:t xml:space="preserve">(ii)</w:t>
      </w:r>
      <w:r xml:space="preserve">
        <w:t> </w:t>
      </w:r>
      <w:r xml:space="preserve">
        <w:t> </w:t>
      </w:r>
      <w:r>
        <w:t xml:space="preserve">a legal guardian of the victim;</w:t>
      </w:r>
    </w:p>
    <w:p w:rsidR="003F3435" w:rsidRDefault="0032493E">
      <w:pPr>
        <w:spacing w:line="480" w:lineRule="auto"/>
        <w:ind w:firstLine="2880"/>
        <w:jc w:val="both"/>
      </w:pPr>
      <w:r>
        <w:t xml:space="preserve">(iii)</w:t>
      </w:r>
      <w:r xml:space="preserve">
        <w:t> </w:t>
      </w:r>
      <w:r xml:space="preserve">
        <w:t> </w:t>
      </w:r>
      <w:r>
        <w:t xml:space="preserve">the victim, if the victim is 17 years of age or older at the time of giving the consent; or</w:t>
      </w:r>
    </w:p>
    <w:p w:rsidR="003F3435" w:rsidRDefault="0032493E">
      <w:pPr>
        <w:spacing w:line="480" w:lineRule="auto"/>
        <w:ind w:firstLine="2880"/>
        <w:jc w:val="both"/>
      </w:pPr>
      <w:r>
        <w:t xml:space="preserve">(iv)</w:t>
      </w:r>
      <w:r xml:space="preserve">
        <w:t> </w:t>
      </w:r>
      <w:r xml:space="preserve">
        <w:t> </w:t>
      </w:r>
      <w:r>
        <w:t xml:space="preserve">a member of the victim's family who is 17 years of age or older;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provided the person with a copy of the consent.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Chapter 7A, Code of Criminal Procedure, apply only to a judgment of conviction entered on or after the effective date of this Act or a grant of deferred adjudication community supervision made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to Section 38.111(a),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1343 was passed by the House on April 25, 2019, by the following vote:</w:t>
      </w:r>
      <w:r xml:space="preserve">
        <w:t> </w:t>
      </w:r>
      <w:r xml:space="preserve">
        <w:t> </w:t>
      </w:r>
      <w:r>
        <w:t xml:space="preserve">Yeas 133, Nays 0, 2 present, not voting; and that the House concurred in Senate amendments to H.B. No. 1343 on May 23, 2019, by the following vote:</w:t>
      </w:r>
      <w:r xml:space="preserve">
        <w:t> </w:t>
      </w:r>
      <w:r xml:space="preserve">
        <w:t> </w:t>
      </w:r>
      <w:r>
        <w:t xml:space="preserve">Yeas 139,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1343 was passed by the Senate, with amendments,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