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86R6062 JRR-D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Thompson of Brazoria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1346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eligibility requirements for the diesel emissions reduction incentive program.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386.104, Health and Safety Code, is amended by amending Subsection (c) and adding Subsections (c-1) and (c-2)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rPr>
          <w:u w:val="single"/>
        </w:rPr>
        <w:t xml:space="preserve">Except as otherwise provided by this subsection, for</w:t>
      </w:r>
      <w:r>
        <w:t xml:space="preserve"> [</w:t>
      </w:r>
      <w:r>
        <w:rPr>
          <w:strike/>
        </w:rPr>
        <w:t xml:space="preserve">For</w:t>
      </w:r>
      <w:r>
        <w:t xml:space="preserve">] a proposed project as described by Section 386.102(b), other than a project involving a marine vessel or engine, not less than 75 percent of vehicle miles traveled or hours of operation projected for the five years immediately following the award of a grant must be projected to take place in a nonattainment area or affected county of this state.  </w:t>
      </w:r>
      <w:r>
        <w:rPr>
          <w:u w:val="single"/>
        </w:rPr>
        <w:t xml:space="preserve">The commission may set the minimum percentage of vehicle miles traveled or hours of operation required to take place in a nonattainment area or affected county at a percentage and for a period that is different from the percentage and period specified by this subsection.</w:t>
      </w:r>
      <w:r>
        <w:t xml:space="preserve">  The commission may [</w:t>
      </w:r>
      <w:r>
        <w:rPr>
          <w:strike/>
        </w:rPr>
        <w:t xml:space="preserve">also</w:t>
      </w:r>
      <w:r>
        <w:t xml:space="preserve">] allow vehicle travel on highways and roadways, or portions of a highway or roadway, designated by the commission and located outside a nonattainment area or affected county to count towards the percentage of use requirement in this subsection.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(c-1)</w:t>
      </w:r>
      <w:r xml:space="preserve">
        <w:t> </w:t>
      </w:r>
      <w:r xml:space="preserve">
        <w:t> </w:t>
      </w:r>
      <w:r>
        <w:t xml:space="preserve">For a proposed project involving a marine vessel or engine, the vessel or engine must be operated in the intercoastal waterways or bays adjacent to a nonattainment area or affected county of this state for a sufficient amount of time over the lifetime of the project, as determined by the commission, to meet the cost-effectiveness requirements of Section 386.105.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(c-2)</w:t>
      </w:r>
      <w:r xml:space="preserve">
        <w:t> </w:t>
      </w:r>
      <w:r xml:space="preserve">
        <w:t> </w:t>
      </w:r>
      <w:r>
        <w:t xml:space="preserve">For a proposed project involving non-road equipment used for natural gas recovery purposes, the equipment must be operated in a nonattainment area or affected county for a sufficient amount of use over the lifetime of the project, as determined by the commission, to meet the cost-effectiveness requirements of Section 386.105.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1346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