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86R17245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Button, Paul, Holland, Bowers, Lang,</w:t>
      </w:r>
      <w:r xml:space="preserve">
        <w:tab wTab="150" tlc="none" cTlc="0"/>
      </w:r>
      <w:r>
        <w:t xml:space="preserve">H.B.</w:t>
      </w:r>
      <w:r xml:space="preserve">
        <w:t> </w:t>
      </w:r>
      <w:r>
        <w:t xml:space="preserve">No.</w:t>
      </w:r>
      <w:r xml:space="preserve">
        <w:t> </w:t>
      </w:r>
      <w:r>
        <w:t xml:space="preserve">1355</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execution of a search warrant for taking a blood specimen from certain persons in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18, Code of Criminal Procedure, is amended by adding Article 18.067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18.067.</w:t>
      </w:r>
      <w:r>
        <w:rPr>
          <w:u w:val="single"/>
        </w:rPr>
        <w:t xml:space="preserve"> </w:t>
      </w:r>
      <w:r>
        <w:rPr>
          <w:u w:val="single"/>
        </w:rPr>
        <w:t xml:space="preserve"> </w:t>
      </w:r>
      <w:r>
        <w:rPr>
          <w:u w:val="single"/>
        </w:rPr>
        <w:t xml:space="preserve">EXECUTION OF WARRANT FOR BLOOD SPECIMEN IN INTOXICATION OFFENSE.  Notwithstanding any other law, a warrant issued under Article 18.02(a)(10) to collect a blood specimen from a person suspected of committing an intoxication offense under Section 49.04, 49.045, 49.05, 49.06, 49.065, 49.07, or 49.08, Penal Code, may be executed: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any county adjacent to the county in which the warrant was issued;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any law enforcement officer authorized to make an arrest in the county of execution.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search warrant issued on or after the effective date of this Act.  A search warrant issued before the effective date of this Act is governed by the law in effect on the date the warrant was issued,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