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et al.</w:t>
      </w:r>
      <w:r>
        <w:t xml:space="preserve"> </w:t>
      </w:r>
      <w:r xml:space="preserve">
        <w:tab wTab="150" tlc="none" cTlc="0"/>
      </w:r>
      <w:r>
        <w:t xml:space="preserve">H.B.</w:t>
      </w:r>
      <w:r xml:space="preserve">
        <w:t> </w:t>
      </w:r>
      <w:r>
        <w:t xml:space="preserve">No.</w:t>
      </w:r>
      <w:r xml:space="preserve">
        <w:t> </w:t>
      </w:r>
      <w:r>
        <w:t xml:space="preserve">1355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 Flores)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Criminal Justice;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1355</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and execution of a search warrant to collect a blood specimen from a person arrested for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 Code of Criminal Procedure, is amended by amending Subsection (j) and adding Subsection (k) to read as follows:</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rPr>
          <w:u w:val="single"/>
        </w:rPr>
        <w:t xml:space="preserve">18.02(a)(10)</w:t>
      </w:r>
      <w:r>
        <w:t xml:space="preserve"> [</w:t>
      </w:r>
      <w:r>
        <w:rPr>
          <w:strike/>
        </w:rPr>
        <w:t xml:space="preserve">18.02(10)</w:t>
      </w:r>
      <w:r>
        <w:t xml:space="preserve">]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(i) and (j), a justice of the peace may issue a search warrant under Article 18.02(a)(10) to collect a blood specimen from a person who is arrested for an offense listed in Subsection (j)(1)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magistrate described by Subsection (i) or (j) is unavailable and unreachable;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exigent circumstances exist.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