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86R24910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King of Parker, Davis of Harris,</w:t>
      </w:r>
      <w:r xml:space="preserve">
        <w:tab wTab="150" tlc="none" cTlc="0"/>
      </w:r>
      <w:r>
        <w:t xml:space="preserve">H.B.</w:t>
      </w:r>
      <w:r xml:space="preserve">
        <w:t> </w:t>
      </w:r>
      <w:r>
        <w:t xml:space="preserve">No.</w:t>
      </w:r>
      <w:r xml:space="preserve">
        <w:t> </w:t>
      </w:r>
      <w:r>
        <w:t xml:space="preserve">1359</w:t>
      </w:r>
    </w:p>
    <w:p w:rsidR="003F3435" w:rsidRDefault="0032493E">
      <w:pPr>
        <w:jc w:val="both"/>
      </w:pPr>
      <w:r xml:space="preserve">
        <w:t> </w:t>
      </w:r>
      <w:r xml:space="preserve">
        <w:t> </w:t>
      </w:r>
      <w:r xml:space="preserve">
        <w:t> </w:t>
      </w:r>
      <w:r xml:space="preserve">
        <w:t> </w:t>
      </w:r>
      <w:r xml:space="preserve">
        <w:t> </w:t>
      </w:r>
      <w:r>
        <w:t xml:space="preserve">Longoria,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1359:</w:t>
      </w: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C.S.H.B.</w:t>
      </w:r>
      <w:r xml:space="preserve">
        <w:t> </w:t>
      </w:r>
      <w:r>
        <w:t xml:space="preserve">No.</w:t>
      </w:r>
      <w:r xml:space="preserve">
        <w:t> </w:t>
      </w:r>
      <w:r>
        <w:t xml:space="preserve">1359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attorney identification card for entrance into a building that houses a court;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75, Government Code, is amended by adding Subchapter J to read as follows:</w:t>
      </w:r>
    </w:p>
    <w:p w:rsidR="003F3435" w:rsidRDefault="0032493E">
      <w:pPr>
        <w:spacing w:line="480" w:lineRule="auto"/>
        <w:jc w:val="center"/>
      </w:pPr>
      <w:r>
        <w:rPr>
          <w:u w:val="single"/>
        </w:rPr>
        <w:t xml:space="preserve">SUBCHAPTER J.  ACCESS TO BUILDINGS THAT HOUSE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75.601.</w:t>
      </w:r>
      <w:r>
        <w:rPr>
          <w:u w:val="single"/>
        </w:rPr>
        <w:t xml:space="preserve"> </w:t>
      </w:r>
      <w:r>
        <w:rPr>
          <w:u w:val="single"/>
        </w:rPr>
        <w:t xml:space="preserve"> </w:t>
      </w:r>
      <w:r>
        <w:rPr>
          <w:u w:val="single"/>
        </w:rPr>
        <w:t xml:space="preserve">STATE BAR MEMBERS.  (a) </w:t>
      </w:r>
      <w:r>
        <w:rPr>
          <w:u w:val="single"/>
        </w:rPr>
        <w:t xml:space="preserve"> </w:t>
      </w:r>
      <w:r>
        <w:rPr>
          <w:u w:val="single"/>
        </w:rPr>
        <w:t xml:space="preserve">To enter a building that houses a justice court, municipal court, county court, county court at law, or district court without passing through security services, an attorney licensed to practice law in this state may present the attorney's security services identification card issued under Section 81.117 instead of an identification card issued or authorized for issuance by a county or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municipality may not adopt or enforce an order or ordinance that conflicts with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81, Government Code, is amended by adding Section 81.117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81.117.</w:t>
      </w:r>
      <w:r>
        <w:rPr>
          <w:u w:val="single"/>
        </w:rPr>
        <w:t xml:space="preserve"> </w:t>
      </w:r>
      <w:r>
        <w:rPr>
          <w:u w:val="single"/>
        </w:rPr>
        <w:t xml:space="preserve"> </w:t>
      </w:r>
      <w:r>
        <w:rPr>
          <w:u w:val="single"/>
        </w:rPr>
        <w:t xml:space="preserve">SECURITY SERVICES IDENTIFICATION CARD.  (a)  The state bar in accordance with this section may issue to a member of the state bar a security services identification card that authorizes the member to enter a building that houses a court without passing through security services as provided by Section 75.601. The identification card: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in an electronic or a physical format;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a photograph of the member taken within the five years preceding the date of the card's issuance.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state bar may apply for issuance of a security services identification card by submitting to the state bar: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on a form prescribed by the state bar;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form prescribed by the state bar authorizing the state bar to obtain criminal history record information on the applicant;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reasonable fee in the amount set by the state bar to cover the costs of implementing this section, including the portion of the fee to be remitted to a county in accordance with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bar shall remit a portion of each fee collected under this section in an amount not less than $50 as prescribed by state bar rules to the county treasurer, or person performing the functions of the county treasurer, of the county of the applicant's primary practice location.  The county may use money the county receives under this subsection only for court security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bar shall adopt rules to implement this section,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collection and distribution of fees;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approval, denial, and revocation of a security services identification card;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establish a committee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security services identification card applications submitted by and criminal history record information obtained concerning members of the state bar;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oversee: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collection and distribution of fees in accordance with this section and rules adopted under this section;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approval, denial, and revocation of a security services identification card.</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411.1005,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State Bar of Texas is entitled to obtain from the department criminal history record information maintained by the department that relates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state bar;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for issuance of a security services identification card under Section 81.117.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291.010, Local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 of a county may not adopt or enforce an order that conflicts with Section 75.601,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State Bar of Texas shall adopt the rules, fees, forms, and procedures necessary to implement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