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86R1358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attorney's entrance into a building that houses a court by presentation of the attorney's state bar membership card.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75, Government Code, is amended by adding Subchapter J to read as follows:</w:t>
      </w:r>
    </w:p>
    <w:p w:rsidR="003F3435" w:rsidRDefault="0032493E">
      <w:pPr>
        <w:spacing w:line="480" w:lineRule="auto"/>
        <w:jc w:val="center"/>
      </w:pPr>
      <w:r>
        <w:rPr>
          <w:u w:val="single"/>
        </w:rPr>
        <w:t xml:space="preserve">SUBCHAPTER J.  ACCESS TO BUILDINGS THAT HOUSE COURTS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75.601.</w:t>
      </w:r>
      <w:r>
        <w:rPr>
          <w:u w:val="single"/>
        </w:rPr>
        <w:t xml:space="preserve"> </w:t>
      </w:r>
      <w:r>
        <w:rPr>
          <w:u w:val="single"/>
        </w:rPr>
        <w:t xml:space="preserve"> </w:t>
      </w:r>
      <w:r>
        <w:rPr>
          <w:u w:val="single"/>
        </w:rPr>
        <w:t xml:space="preserve">STATE BAR MEMBERS.  (a) </w:t>
      </w:r>
      <w:r>
        <w:rPr>
          <w:u w:val="single"/>
        </w:rPr>
        <w:t xml:space="preserve"> </w:t>
      </w:r>
      <w:r>
        <w:rPr>
          <w:u w:val="single"/>
        </w:rPr>
        <w:t xml:space="preserve">To enter a building that houses a justice court, municipal court, county court, county court at law, or district court without passing through security services, an attorney licensed to practice law in this state may present the attorney's state bar membership card instead of an identification card issued or authorized for issuance by a county or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or municipality may not adopt or enforce an order or ordinance that conflicts with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291.010,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commissioners court of a county may not adopt or enforce an order that conflicts with Section 75.601,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