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86R5697 MCK-F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1362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caseloads of child protective services caseworkers.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40, Human Resources Code, is amended by adding Section 40.05291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40.05291.</w:t>
      </w:r>
      <w:r>
        <w:rPr>
          <w:u w:val="single"/>
        </w:rPr>
        <w:t xml:space="preserve"> </w:t>
      </w:r>
      <w:r>
        <w:rPr>
          <w:u w:val="single"/>
        </w:rPr>
        <w:t xml:space="preserve"> </w:t>
      </w:r>
      <w:r>
        <w:rPr>
          <w:u w:val="single"/>
        </w:rPr>
        <w:t xml:space="preserve">CASEWORKER CASELOAD SCORING SYSTEM AND REPORT.  (a) </w:t>
      </w:r>
      <w:r>
        <w:rPr>
          <w:u w:val="single"/>
        </w:rPr>
        <w:t xml:space="preserve"> </w:t>
      </w:r>
      <w:r>
        <w:rPr>
          <w:u w:val="single"/>
        </w:rPr>
        <w:t xml:space="preserve">The department shall develop a scoring system to ensure equity in the distribution of cases among child protective services caseworkers.  The scoring system must evaluate each child protective services case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children involved in the case;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number of parents involved in the case;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type of placement for each child involved in the case;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total number of placements for the case;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level of care required for each child involved in the case and the difficulty in providing that care;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level of department intervention and parental or family services required for the case and the difficulty in providing those services;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level of cooperation of each parent involved in the case;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amount of travel required to manage the case considering the geographic distances between the caseworker's office and the location of the child's residence, the child's service providers, the court in which the case is pending, and any other considerations affecting the caseworker's travel;</w:t>
      </w:r>
      <w:r>
        <w:t xml:space="preserve"> </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any difficulties associated with handling cases in each specific department region;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any other factor the department determines reasonable and necessary to assess the difficulty of handling a case.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considering the factors described by Subsection (a), the department shall assign each child protective services case a score.  The department shall assign average cases a score of one, more difficult cases a score of greater than one, and easier cases a score of less than one.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Using the score for each case, the department shall calculate each caseworker's daily average caseload for each month.  The caseworker's daily average caseload for a month is calculated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score assigned under Subsection (b) for the case by the number of days in the month the caseworker was assigned the case;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dividing the product of the calculation determined under Subdivision (1) by the number of days in the month;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repeating the calculations in Subdivisions (1) and (2) for each case assigned to the caseworker in the month;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adding the quotients of each calculation under Subdivision (2).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establish a maximum daily average caseload for child protective services caseworkers based on the caseworker's experience and the stage of each case, including whether the case involves the provision of family-based safety services, the department being named permanent managing conservator of the child, or the adoption of the child.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establish a procedure for authorizing a child protective services caseworker to exceed the maximum daily average caseload.  The procedure must include a report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reasons for authorizing the caseworker to exceed the maximum daily average caseload;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days the caseworker may exceed the maximum daily average caseload.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publish on the department's Internet website the maximum daily average caseload for child protective services caseworkers and the methodology for determining that maximum.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the December 1 of each year, the department shall submit to the governor, lieutenant governor, speaker of the house of representatives, and chairs of the standing committees of the senate and house of representatives having primary jurisdiction over child protection issues a report containing information relating to the caseloads of child protective services caseworkers.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